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07" w:rsidRDefault="00E44607" w:rsidP="00E44607">
      <w:pPr>
        <w:ind w:firstLine="698"/>
        <w:jc w:val="right"/>
      </w:pPr>
      <w:r>
        <w:rPr>
          <w:rStyle w:val="a3"/>
        </w:rPr>
        <w:t>Приложение N 5</w:t>
      </w:r>
    </w:p>
    <w:p w:rsidR="00E44607" w:rsidRDefault="00E44607" w:rsidP="00E44607"/>
    <w:p w:rsidR="00E44607" w:rsidRDefault="00E44607" w:rsidP="00E44607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Чеченской Республики</w:t>
      </w:r>
      <w:r>
        <w:rPr>
          <w:rStyle w:val="a3"/>
        </w:rPr>
        <w:br/>
        <w:t>от 30 апреля 2021 г. N 83</w:t>
      </w:r>
    </w:p>
    <w:p w:rsidR="00E44607" w:rsidRDefault="00E44607" w:rsidP="00E44607">
      <w:pPr>
        <w:pStyle w:val="1"/>
      </w:pPr>
    </w:p>
    <w:p w:rsidR="00E44607" w:rsidRDefault="00E44607" w:rsidP="00E44607">
      <w:pPr>
        <w:pStyle w:val="1"/>
      </w:pPr>
      <w:r>
        <w:t>Правила</w:t>
      </w:r>
      <w:r>
        <w:br/>
        <w:t>предоставления и распределения субсидий из республиканского бюджета бюджетам муниципальных образований Чеченской Республики на развитие сети учреждений культурно-досугового типа</w:t>
      </w:r>
    </w:p>
    <w:p w:rsidR="00E44607" w:rsidRDefault="00E44607" w:rsidP="00E44607">
      <w:pPr>
        <w:pStyle w:val="a7"/>
      </w:pPr>
      <w:r>
        <w:t>С изменениями и дополнениями от:</w:t>
      </w:r>
    </w:p>
    <w:p w:rsidR="00E44607" w:rsidRDefault="00E44607" w:rsidP="00E44607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2022 г.</w:t>
      </w:r>
    </w:p>
    <w:p w:rsidR="00E44607" w:rsidRDefault="00E44607" w:rsidP="00E44607"/>
    <w:p w:rsidR="00E44607" w:rsidRDefault="00E44607" w:rsidP="00E44607">
      <w:bookmarkStart w:id="0" w:name="sub_5001"/>
      <w:r>
        <w:t xml:space="preserve">1. Настоящие Правила разработаны в соответствии со </w:t>
      </w:r>
      <w:hyperlink r:id="rId4" w:history="1">
        <w:r>
          <w:rPr>
            <w:rStyle w:val="a4"/>
          </w:rPr>
          <w:t>статьей 139</w:t>
        </w:r>
      </w:hyperlink>
      <w:r>
        <w:t xml:space="preserve"> Бюджетного кодекса Российской Федерации и устанавливают порядок, цели и условия предоставления и распределения субсидий из республиканского бюджета бюджетам муниципальных районов и городских округов Чеченской Республики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реализации региональных проектов, обеспечивающих достижение показателей и результатов </w:t>
      </w:r>
      <w:hyperlink r:id="rId5" w:history="1">
        <w:r>
          <w:rPr>
            <w:rStyle w:val="a4"/>
          </w:rPr>
          <w:t>федерального проекта</w:t>
        </w:r>
      </w:hyperlink>
      <w:r>
        <w:t xml:space="preserve"> "Обеспечение качественно нового уровня развития инфраструктуры культуры ("Культурная среда")", входящего в состав </w:t>
      </w:r>
      <w:hyperlink r:id="rId6" w:history="1">
        <w:r>
          <w:rPr>
            <w:rStyle w:val="a4"/>
          </w:rPr>
          <w:t>национального проекта</w:t>
        </w:r>
      </w:hyperlink>
      <w:r>
        <w:t xml:space="preserve"> "Культура", определяемых соглашением о предоставлении субсидии из федерального бюджета бюджету Чеченской Республики, в рамках реализации </w:t>
      </w:r>
      <w:hyperlink r:id="rId7" w:history="1">
        <w:r>
          <w:rPr>
            <w:rStyle w:val="a4"/>
          </w:rPr>
          <w:t>государственной программы</w:t>
        </w:r>
      </w:hyperlink>
      <w:r>
        <w:t xml:space="preserve"> Чеченской Республики "Развитие культуры и туризма в Чеченской Республике" (далее - субсидии), и предусматривающих:</w:t>
      </w:r>
    </w:p>
    <w:p w:rsidR="00E44607" w:rsidRDefault="00E44607" w:rsidP="00E44607">
      <w:bookmarkStart w:id="1" w:name="sub_5022"/>
      <w:bookmarkEnd w:id="0"/>
      <w:r>
        <w:t>а) создание и модернизацию учреждений культурно-досугового типа в сельской местности, включая строительство, реконструкцию и капитальный ремонт зданий;</w:t>
      </w:r>
    </w:p>
    <w:p w:rsidR="00E44607" w:rsidRDefault="00E44607" w:rsidP="00E44607">
      <w:bookmarkStart w:id="2" w:name="sub_5023"/>
      <w:bookmarkEnd w:id="1"/>
      <w:r>
        <w:t>б) создание центров культурного развития в городах с числом жителей до 300 тыс. человек (далее - создание центров культурного развития).</w:t>
      </w:r>
    </w:p>
    <w:p w:rsidR="00E44607" w:rsidRDefault="00E44607" w:rsidP="00E44607">
      <w:bookmarkStart w:id="3" w:name="sub_5002"/>
      <w:bookmarkEnd w:id="2"/>
      <w:r>
        <w:t>2. Понятие "сельская местность", используемое в настоящих Правилах, означает сельские поселения, рабочие поселки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и муниципальных округов (за исключением городского округа, на территории которого находится административный центр Чеченской Республики), городских поселений,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E44607" w:rsidRDefault="00E44607" w:rsidP="00E44607">
      <w:bookmarkStart w:id="4" w:name="sub_5003"/>
      <w:bookmarkEnd w:id="3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вопросам местного значения, в соответствии с перечнем субсидий, утверждаемым законом Чеченской Республики о республиканском бюджете на очередной финансовый год и плановый период, связанных с финансовым обеспечением реализации мероприятий, предусматривающих развитие сети учреждений культурно-досугового типа.</w:t>
      </w:r>
    </w:p>
    <w:p w:rsidR="00E44607" w:rsidRDefault="00E44607" w:rsidP="00E44607">
      <w:bookmarkStart w:id="5" w:name="sub_5004"/>
      <w:bookmarkEnd w:id="4"/>
      <w:r>
        <w:t xml:space="preserve">4. Субсидии не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корректировке проектно-сметной документации в части привязки муниципальными образованиями проектов к местности, благоустройства территории, прилегающей к объекту капитального строительства, подключению к инженерным сетям, по закупке и установке оборудования, мебели, компьютерной и оргтехники.</w:t>
      </w:r>
    </w:p>
    <w:p w:rsidR="00E44607" w:rsidRDefault="00E44607" w:rsidP="00E44607">
      <w:bookmarkStart w:id="6" w:name="sub_5005"/>
      <w:bookmarkEnd w:id="5"/>
      <w:r>
        <w:t xml:space="preserve">5. Главным распорядителем средств республиканского бюджета, предоставляемых в </w:t>
      </w:r>
      <w:r>
        <w:lastRenderedPageBreak/>
        <w:t>виде субсидий, является Министерство культуры Чеченской Республики (далее - Минкультуры ЧР).</w:t>
      </w:r>
    </w:p>
    <w:p w:rsidR="00E44607" w:rsidRDefault="00E44607" w:rsidP="00E44607">
      <w:bookmarkStart w:id="7" w:name="sub_5006"/>
      <w:bookmarkEnd w:id="6"/>
      <w:r>
        <w:t xml:space="preserve">6. Распределение субсидий между муниципальными образованиями устанавливается законом Чеченской Республики о республиканском бюджете на соответствующий финансовый год и плановый период. В случаях, установленных </w:t>
      </w:r>
      <w:hyperlink r:id="rId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законом Чеченской Республики о республиканском бюджете на соответствующий финансовый год и плановый период, распределение субсидий между муниципальными образованиями устанавливается правовыми актами Правительства Чеченской Республики.</w:t>
      </w:r>
    </w:p>
    <w:p w:rsidR="00E44607" w:rsidRDefault="00E44607" w:rsidP="00E44607">
      <w:bookmarkStart w:id="8" w:name="sub_5007"/>
      <w:bookmarkEnd w:id="7"/>
      <w:r>
        <w:t>7. Отбор муниципальных образований для предоставления субсидии осуществляется на основании следующих критериев:</w:t>
      </w:r>
    </w:p>
    <w:p w:rsidR="00E44607" w:rsidRDefault="00E44607" w:rsidP="00E44607">
      <w:bookmarkStart w:id="9" w:name="sub_5024"/>
      <w:bookmarkEnd w:id="8"/>
      <w:r>
        <w:t>1) наличие заявки о предоставлении субсидии по форме, установленной Минкультуры ЧР;</w:t>
      </w:r>
    </w:p>
    <w:p w:rsidR="00E44607" w:rsidRDefault="00E44607" w:rsidP="00E44607">
      <w:bookmarkStart w:id="10" w:name="sub_5025"/>
      <w:bookmarkEnd w:id="9"/>
      <w:r>
        <w:t>2) наличие гарантии муниципального образования о последующем профильном использовании учреждения культурно-досугового типа или центра культурного развития;</w:t>
      </w:r>
    </w:p>
    <w:p w:rsidR="00E44607" w:rsidRDefault="00E44607" w:rsidP="00E44607">
      <w:bookmarkStart w:id="11" w:name="sub_5026"/>
      <w:bookmarkEnd w:id="10"/>
      <w:r>
        <w:t>3) обязательство муниципального образования обеспечить завершение строительства (реконструкции) и (или) капитального ремонта учреждения культурно-досугового типа или центра культурного развития и ввод его в эксплуатацию в установленные сроки;</w:t>
      </w:r>
    </w:p>
    <w:p w:rsidR="00E44607" w:rsidRDefault="00E44607" w:rsidP="00E44607">
      <w:bookmarkStart w:id="12" w:name="sub_5027"/>
      <w:bookmarkEnd w:id="11"/>
      <w:r>
        <w:t>4) наличие утвержденной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 если проведение этой экспертизы в соответствии с законодательством Российской Федерации является обязательным), а также наличие сметы расходов на капитальный ремонт объектов.</w:t>
      </w:r>
    </w:p>
    <w:p w:rsidR="00E44607" w:rsidRDefault="00E44607" w:rsidP="00E44607">
      <w:bookmarkStart w:id="13" w:name="sub_5008"/>
      <w:bookmarkEnd w:id="12"/>
      <w:r>
        <w:t>8. Общий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образования, указанных в </w:t>
      </w:r>
      <w:hyperlink w:anchor="sub_5001" w:history="1">
        <w:r>
          <w:rPr>
            <w:rStyle w:val="a4"/>
          </w:rPr>
          <w:t>пункте 1</w:t>
        </w:r>
      </w:hyperlink>
      <w:r>
        <w:t xml:space="preserve"> настоящих Правил (</w:t>
      </w:r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13"/>
    <w:p w:rsidR="00E44607" w:rsidRDefault="00E44607" w:rsidP="00E44607"/>
    <w:p w:rsidR="00E44607" w:rsidRDefault="00E44607" w:rsidP="00E44607">
      <w:r>
        <w:rPr>
          <w:noProof/>
        </w:rPr>
        <w:drawing>
          <wp:inline distT="0" distB="0" distL="0" distR="0">
            <wp:extent cx="8572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44607" w:rsidRDefault="00E44607" w:rsidP="00E44607"/>
    <w:p w:rsidR="00E44607" w:rsidRDefault="00E44607" w:rsidP="00E44607">
      <w:r>
        <w:t>где:</w:t>
      </w:r>
    </w:p>
    <w:p w:rsidR="00E44607" w:rsidRDefault="00E44607" w:rsidP="00E44607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созданию и модернизации учреждений культурно-досугового типа в сельской местности;</w:t>
      </w:r>
    </w:p>
    <w:p w:rsidR="00E44607" w:rsidRDefault="00E44607" w:rsidP="00E44607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расчетный размер бюджетных ассигнований республиканского бюджета на предоставление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по созданию центров культурного развития.</w:t>
      </w:r>
    </w:p>
    <w:p w:rsidR="00E44607" w:rsidRDefault="00E44607" w:rsidP="00E44607">
      <w:bookmarkStart w:id="14" w:name="sub_5009"/>
      <w:r>
        <w:t>9. Расчет размера субсидии на развитие сети учреждений культурно-досугового типа осуществляется в соответствии со сметной стоимостью строительства и (или) реконструкции (капитального ремонта) учреждений культурно-досугового типа, подтвержденной положительным заключением государственной экспертизы по проверке достоверности определения сметной стоимости, в пределах лимитов бюджетных обязательств и бюджетных ассигнований, доведенных в установленном порядке Минкультуры ЧР на эти цели.</w:t>
      </w:r>
    </w:p>
    <w:p w:rsidR="00E44607" w:rsidRDefault="00E44607" w:rsidP="00E44607">
      <w:bookmarkStart w:id="15" w:name="sub_5010"/>
      <w:bookmarkEnd w:id="14"/>
      <w:r>
        <w:t>10. Условиями предоставления субсидии являются:</w:t>
      </w:r>
    </w:p>
    <w:p w:rsidR="00E44607" w:rsidRDefault="00E44607" w:rsidP="00E44607">
      <w:bookmarkStart w:id="16" w:name="sub_5028"/>
      <w:bookmarkEnd w:id="15"/>
      <w:r>
        <w:t xml:space="preserve">1) наличие правового акта муниципального образования об утверждении в </w:t>
      </w:r>
      <w:r>
        <w:lastRenderedPageBreak/>
        <w:t xml:space="preserve">соответствии с требованиями нормативных правовых актов Чеченской Республики перечня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E44607" w:rsidRDefault="00E44607" w:rsidP="00E44607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7" w:name="sub_5029"/>
      <w:bookmarkEnd w:id="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"/>
    <w:p w:rsidR="00E44607" w:rsidRDefault="00E44607" w:rsidP="00E44607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подпункта 2 в части наличия бюджетных ассигнований на исполнение расходных обязательств </w:t>
      </w:r>
      <w:hyperlink r:id="rId13" w:history="1">
        <w:r>
          <w:rPr>
            <w:rStyle w:val="a4"/>
            <w:shd w:val="clear" w:color="auto" w:fill="F0F0F0"/>
          </w:rPr>
          <w:t>приостановлено</w:t>
        </w:r>
      </w:hyperlink>
      <w:r>
        <w:rPr>
          <w:shd w:val="clear" w:color="auto" w:fill="F0F0F0"/>
        </w:rPr>
        <w:t xml:space="preserve"> до 1 января 2023 г.</w:t>
      </w:r>
    </w:p>
    <w:p w:rsidR="00E44607" w:rsidRDefault="00E44607" w:rsidP="00E44607">
      <w:r>
        <w:t xml:space="preserve">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республиканского бюджета субсидии;</w:t>
      </w:r>
    </w:p>
    <w:p w:rsidR="00E44607" w:rsidRDefault="00E44607" w:rsidP="00E44607">
      <w:bookmarkStart w:id="18" w:name="sub_5030"/>
      <w:r>
        <w:t xml:space="preserve">3) заключение соглашения между Минкультуры ЧР и муниципальным образованием о предоставлении субсидии из республиканского бюджета бюджету муниципального образования (далее - соглашение) в соответствии с </w:t>
      </w:r>
      <w:hyperlink r:id="rId14" w:history="1">
        <w:r>
          <w:rPr>
            <w:rStyle w:val="a4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местным бюджетам,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24 декабря 2020 года N 415 "О формировании, предоставлении и распределении субсидий из республиканского бюджета местным бюджетам" (далее - Правила формирования, предоставления и распределения субсидий).</w:t>
      </w:r>
    </w:p>
    <w:p w:rsidR="00E44607" w:rsidRDefault="00E44607" w:rsidP="00E44607">
      <w:bookmarkStart w:id="19" w:name="sub_5011"/>
      <w:bookmarkEnd w:id="18"/>
      <w:r>
        <w:t xml:space="preserve">11. Предоставление субсидии бюджету муниципального образования осуществляется Минкультуры ЧР на основании соглашения,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положениями настоящих Правил и положениями, установленными </w:t>
      </w:r>
      <w:hyperlink r:id="rId16" w:history="1">
        <w:r>
          <w:rPr>
            <w:rStyle w:val="a4"/>
          </w:rPr>
          <w:t>Правилами</w:t>
        </w:r>
      </w:hyperlink>
      <w:r>
        <w:t xml:space="preserve"> формирования, предоставления и распределения субсидий.</w:t>
      </w:r>
    </w:p>
    <w:p w:rsidR="00E44607" w:rsidRDefault="00E44607" w:rsidP="00E44607">
      <w:bookmarkStart w:id="20" w:name="sub_5012"/>
      <w:bookmarkEnd w:id="19"/>
      <w:r>
        <w:t>12. Срок реализации мероприятия за счет средств республиканского бюджета устанавливается соглашением.</w:t>
      </w:r>
    </w:p>
    <w:p w:rsidR="00E44607" w:rsidRDefault="00E44607" w:rsidP="00E44607">
      <w:bookmarkStart w:id="21" w:name="sub_5013"/>
      <w:bookmarkEnd w:id="20"/>
      <w:r>
        <w:t xml:space="preserve">13.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республиканского бюджета определяется в соответствии с </w:t>
      </w:r>
      <w:hyperlink r:id="rId17" w:history="1">
        <w:r>
          <w:rPr>
            <w:rStyle w:val="a4"/>
          </w:rPr>
          <w:t>пунктом 17</w:t>
        </w:r>
      </w:hyperlink>
      <w:r>
        <w:t xml:space="preserve"> Правил формирования, предоставления и распределения субсидий.</w:t>
      </w:r>
    </w:p>
    <w:bookmarkEnd w:id="21"/>
    <w:p w:rsidR="00E44607" w:rsidRDefault="00E44607" w:rsidP="00E44607">
      <w:r>
        <w:t xml:space="preserve">Объем бюджетных ассигнований, предусмотренных в бюджете муниципального образования на исполнение расходного обязательства муниципального образования, </w:t>
      </w:r>
      <w:proofErr w:type="spellStart"/>
      <w:r>
        <w:t>софинансируемого</w:t>
      </w:r>
      <w:proofErr w:type="spellEnd"/>
      <w:r>
        <w:t xml:space="preserve"> из республиканского бюджета, может быть увеличен в одностороннем порядке со стороны муниципального образования, что не влечет обязательств по увеличению размера предоставления субсидии.</w:t>
      </w:r>
    </w:p>
    <w:p w:rsidR="00E44607" w:rsidRDefault="00E44607" w:rsidP="00E44607">
      <w:bookmarkStart w:id="22" w:name="sub_5014"/>
      <w:r>
        <w:t>14.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счета, открытого Минкультуры ЧР, на счет Управления Федерального казначейства по Чеченской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E44607" w:rsidRDefault="00E44607" w:rsidP="00E44607">
      <w:bookmarkStart w:id="23" w:name="sub_5015"/>
      <w:bookmarkEnd w:id="22"/>
      <w:r>
        <w:t>15. Перечисление средств субсидий осуществляется на основании заявки муниципального образования о перечислении субсидии, представляемой в Минкультуры ЧР по форме и в срок, устанавливаемые Минкультуры ЧР.</w:t>
      </w:r>
    </w:p>
    <w:p w:rsidR="00E44607" w:rsidRDefault="00E44607" w:rsidP="00E44607">
      <w:bookmarkStart w:id="24" w:name="sub_5016"/>
      <w:bookmarkEnd w:id="23"/>
      <w:r>
        <w:t xml:space="preserve">16. Оценка эффективности использования субсидий, предоставляемых муниципальным образованиям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реализации региональных проектов, обеспечивающих достижение показателей и результатов федеральных проектов </w:t>
      </w:r>
      <w:hyperlink r:id="rId18" w:history="1">
        <w:r>
          <w:rPr>
            <w:rStyle w:val="a4"/>
          </w:rPr>
          <w:t>"Обеспечение качественно нового уровня развития инфраструктуры культуры ("Культурная среда")"</w:t>
        </w:r>
      </w:hyperlink>
      <w:r>
        <w:t xml:space="preserve"> и </w:t>
      </w:r>
      <w:hyperlink r:id="rId19" w:history="1">
        <w:r>
          <w:rPr>
            <w:rStyle w:val="a4"/>
          </w:rPr>
          <w:t>"Создание условий для реализации творческого потенциала нации ("Творческие люди")"</w:t>
        </w:r>
      </w:hyperlink>
      <w:r>
        <w:t>, осуществляется Минкультуры ЧР по итогам финансового года путем сравнения фактически достигнутых значений и установленных соглашением значений следующих результатов использования субсидий:</w:t>
      </w:r>
    </w:p>
    <w:p w:rsidR="00E44607" w:rsidRDefault="00E44607" w:rsidP="00E44607">
      <w:bookmarkStart w:id="25" w:name="sub_5031"/>
      <w:bookmarkEnd w:id="24"/>
      <w:r>
        <w:lastRenderedPageBreak/>
        <w:t>1) количество созданных и модернизированных учреждений культурно-досугового типа в сельской местности путем строительства, реконструкции и капитального ремонта зданий;</w:t>
      </w:r>
    </w:p>
    <w:p w:rsidR="00E44607" w:rsidRDefault="00E44607" w:rsidP="00E44607">
      <w:bookmarkStart w:id="26" w:name="sub_5032"/>
      <w:bookmarkEnd w:id="25"/>
      <w:r>
        <w:t>2) количество созданных центров культурного развития.</w:t>
      </w:r>
    </w:p>
    <w:p w:rsidR="00E44607" w:rsidRDefault="00E44607" w:rsidP="00E44607">
      <w:bookmarkStart w:id="27" w:name="sub_5017"/>
      <w:bookmarkEnd w:id="26"/>
      <w:r>
        <w:t>17. Муниципальное образование обеспечивает представление в Минкультуры ЧР отчетов о (об):</w:t>
      </w:r>
    </w:p>
    <w:bookmarkEnd w:id="27"/>
    <w:p w:rsidR="00E44607" w:rsidRDefault="00E44607" w:rsidP="00E44607">
      <w:r>
        <w:t xml:space="preserve">- расходах бюджета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по форме, установленной соглашением, не позднее 15 числа месяца, следующего за отчетным кварталом;</w:t>
      </w:r>
    </w:p>
    <w:p w:rsidR="00E44607" w:rsidRDefault="00E44607" w:rsidP="00E44607">
      <w:r>
        <w:t>- достижении значений результатов использования субсидии по формам, установленным соглашением, не позднее 3 рабочих дней месяца, следующего за отчетным годом;</w:t>
      </w:r>
    </w:p>
    <w:p w:rsidR="00E44607" w:rsidRDefault="00E44607" w:rsidP="00E44607">
      <w:r>
        <w:t>- исполнении графика выполнения мероприятий не позднее 15 числа месяца, следующего за отчетным кварталом, в котором была получена Субсидия.</w:t>
      </w:r>
    </w:p>
    <w:p w:rsidR="00E44607" w:rsidRDefault="00E44607" w:rsidP="00E44607">
      <w:bookmarkStart w:id="28" w:name="sub_5018"/>
      <w:r>
        <w:t xml:space="preserve">18. Муниципальное образование несет ответственность в соответствии с </w:t>
      </w:r>
      <w:hyperlink r:id="rId2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несоблюдение условий предоставления субсидии, невыполнение обязательств, предусмотренных соглашением о предоставлении субсидии, а также за достоверность отчетности, представляемой в Минкультуры ЧР.</w:t>
      </w:r>
    </w:p>
    <w:p w:rsidR="00E44607" w:rsidRDefault="00E44607" w:rsidP="00E44607">
      <w:bookmarkStart w:id="29" w:name="sub_5019"/>
      <w:bookmarkEnd w:id="28"/>
      <w:r>
        <w:t xml:space="preserve">19. Основания и порядок применения мер финансовой ответственности к муниципальному образованию при невыполнении им условий соглашения, порядок последующего использования средств, перечисленных из местных бюджетов в республиканский бюджет в случае нарушения обязательств, предусмотренных соглашением, а также основания для освобождения муниципального образования от применения мер ответственности устанавливаются </w:t>
      </w:r>
      <w:hyperlink r:id="rId21" w:history="1">
        <w:r>
          <w:rPr>
            <w:rStyle w:val="a4"/>
          </w:rPr>
          <w:t>Правилами</w:t>
        </w:r>
      </w:hyperlink>
      <w:r>
        <w:t xml:space="preserve"> формирования, предоставления и распределения субсидий.</w:t>
      </w:r>
    </w:p>
    <w:p w:rsidR="00E44607" w:rsidRDefault="00E44607" w:rsidP="00E44607">
      <w:bookmarkStart w:id="30" w:name="sub_5020"/>
      <w:bookmarkEnd w:id="29"/>
      <w:r>
        <w:t xml:space="preserve">20. Субсидии, не использованные в течение финансового года, подлежат возврату в республиканский бюджет в порядке, установленном </w:t>
      </w:r>
      <w:hyperlink r:id="rId22" w:history="1">
        <w:r>
          <w:rPr>
            <w:rStyle w:val="a4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E44607" w:rsidRDefault="00E44607" w:rsidP="00E44607">
      <w:bookmarkStart w:id="31" w:name="sub_5021"/>
      <w:bookmarkEnd w:id="30"/>
      <w:r>
        <w:t>21. Контроль за соблюдением муниципальными образованиями условий предоставления субсидий осуществляется Минкультуры ЧР и органами государственного финансового контроля.</w:t>
      </w:r>
    </w:p>
    <w:p w:rsidR="0018160E" w:rsidRDefault="0018160E">
      <w:bookmarkStart w:id="32" w:name="_GoBack"/>
      <w:bookmarkEnd w:id="31"/>
      <w:bookmarkEnd w:id="32"/>
    </w:p>
    <w:sectPr w:rsidR="0018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C"/>
    <w:rsid w:val="0018160E"/>
    <w:rsid w:val="00A15E4C"/>
    <w:rsid w:val="00E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3944-B730-4A2A-BA9D-FCB7354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6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6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46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60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44607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б изменениях"/>
    <w:basedOn w:val="a"/>
    <w:next w:val="a"/>
    <w:uiPriority w:val="99"/>
    <w:rsid w:val="00E44607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E44607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404934487/8037" TargetMode="External"/><Relationship Id="rId18" Type="http://schemas.openxmlformats.org/officeDocument/2006/relationships/hyperlink" Target="http://internet.garant.ru/document/redirect/72185936/4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400169110/1000" TargetMode="External"/><Relationship Id="rId7" Type="http://schemas.openxmlformats.org/officeDocument/2006/relationships/hyperlink" Target="http://internet.garant.ru/document/redirect/35914775/1000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://internet.garant.ru/document/redirect/400169110/1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00169110/1000" TargetMode="External"/><Relationship Id="rId20" Type="http://schemas.openxmlformats.org/officeDocument/2006/relationships/hyperlink" Target="http://internet.garant.ru/document/redirect/12112604/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185936/0" TargetMode="Externa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2185936/401" TargetMode="External"/><Relationship Id="rId15" Type="http://schemas.openxmlformats.org/officeDocument/2006/relationships/hyperlink" Target="http://internet.garant.ru/document/redirect/400169110/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internet.garant.ru/document/redirect/72185936/402" TargetMode="External"/><Relationship Id="rId4" Type="http://schemas.openxmlformats.org/officeDocument/2006/relationships/hyperlink" Target="http://internet.garant.ru/document/redirect/12112604/139" TargetMode="Externa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400169110/1010" TargetMode="External"/><Relationship Id="rId22" Type="http://schemas.openxmlformats.org/officeDocument/2006/relationships/hyperlink" Target="http://internet.garant.ru/document/redirect/12112604/2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Джабаев Турко Акзурович</dc:creator>
  <cp:keywords/>
  <dc:description/>
  <cp:lastModifiedBy>Джабаев Турко Акзурович</cp:lastModifiedBy>
  <cp:revision>2</cp:revision>
  <dcterms:created xsi:type="dcterms:W3CDTF">2022-11-01T08:03:00Z</dcterms:created>
  <dcterms:modified xsi:type="dcterms:W3CDTF">2022-11-01T08:03:00Z</dcterms:modified>
</cp:coreProperties>
</file>