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2" w:rsidRDefault="00E544D2" w:rsidP="000E6924">
      <w:pPr>
        <w:rPr>
          <w:sz w:val="18"/>
          <w:szCs w:val="18"/>
        </w:rPr>
      </w:pPr>
      <w:bookmarkStart w:id="0" w:name="_GoBack"/>
      <w:bookmarkEnd w:id="0"/>
    </w:p>
    <w:p w:rsidR="00E544D2" w:rsidRDefault="00E544D2" w:rsidP="000E6924">
      <w:pPr>
        <w:rPr>
          <w:sz w:val="18"/>
          <w:szCs w:val="18"/>
        </w:rPr>
      </w:pPr>
    </w:p>
    <w:p w:rsidR="00E544D2" w:rsidRDefault="00E544D2" w:rsidP="000E6924">
      <w:pPr>
        <w:rPr>
          <w:sz w:val="18"/>
          <w:szCs w:val="18"/>
        </w:rPr>
      </w:pPr>
    </w:p>
    <w:p w:rsidR="00A55987" w:rsidRDefault="00A55987" w:rsidP="002E1D06">
      <w:pPr>
        <w:ind w:firstLine="708"/>
        <w:jc w:val="center"/>
        <w:rPr>
          <w:sz w:val="28"/>
          <w:szCs w:val="28"/>
        </w:rPr>
      </w:pP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48BE">
        <w:rPr>
          <w:sz w:val="28"/>
          <w:szCs w:val="28"/>
        </w:rPr>
        <w:t xml:space="preserve">нформация 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</w:t>
      </w:r>
      <w:r w:rsidR="00524F6F">
        <w:rPr>
          <w:sz w:val="28"/>
          <w:szCs w:val="28"/>
        </w:rPr>
        <w:t>2</w:t>
      </w:r>
      <w:r w:rsidRPr="002848B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848BE">
        <w:rPr>
          <w:sz w:val="28"/>
          <w:szCs w:val="28"/>
        </w:rPr>
        <w:t>г.</w:t>
      </w:r>
    </w:p>
    <w:p w:rsidR="0012593E" w:rsidRPr="002848BE" w:rsidRDefault="0012593E" w:rsidP="0012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Pr="00520E5D">
        <w:rPr>
          <w:color w:val="000000"/>
          <w:sz w:val="28"/>
          <w:szCs w:val="28"/>
        </w:rPr>
        <w:t>от 26.12.2018г. № 305</w:t>
      </w:r>
      <w:r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и план</w:t>
      </w:r>
      <w:r w:rsidR="002054B0">
        <w:rPr>
          <w:sz w:val="28"/>
          <w:szCs w:val="28"/>
        </w:rPr>
        <w:t>ов</w:t>
      </w:r>
      <w:r w:rsidRPr="003965B2">
        <w:rPr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</w:t>
      </w:r>
      <w:r w:rsidRPr="003965B2">
        <w:rPr>
          <w:sz w:val="28"/>
          <w:szCs w:val="28"/>
        </w:rPr>
        <w:lastRenderedPageBreak/>
        <w:t>финансов Чеченской Республики от 28.12.2018г. № 477</w:t>
      </w:r>
      <w:r w:rsidR="002054B0">
        <w:rPr>
          <w:sz w:val="28"/>
          <w:szCs w:val="28"/>
        </w:rPr>
        <w:t xml:space="preserve"> и на второе полугодие 2019 года, </w:t>
      </w:r>
      <w:r w:rsidR="002054B0" w:rsidRPr="00651EBC">
        <w:rPr>
          <w:sz w:val="28"/>
          <w:szCs w:val="28"/>
        </w:rPr>
        <w:t>утвержденного приказом Министерства финанс</w:t>
      </w:r>
      <w:r w:rsidR="002054B0">
        <w:rPr>
          <w:sz w:val="28"/>
          <w:szCs w:val="28"/>
        </w:rPr>
        <w:t>ов Чеченской Республики от 25.06.2019</w:t>
      </w:r>
      <w:r w:rsidR="002054B0" w:rsidRPr="00651EBC">
        <w:rPr>
          <w:sz w:val="28"/>
          <w:szCs w:val="28"/>
        </w:rPr>
        <w:t xml:space="preserve">г. </w:t>
      </w:r>
      <w:r w:rsidR="002054B0">
        <w:rPr>
          <w:sz w:val="28"/>
          <w:szCs w:val="28"/>
        </w:rPr>
        <w:t>№ 234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На 01.</w:t>
      </w:r>
      <w:r>
        <w:rPr>
          <w:sz w:val="28"/>
          <w:szCs w:val="28"/>
        </w:rPr>
        <w:t>1</w:t>
      </w:r>
      <w:r w:rsidR="00BE4A22">
        <w:rPr>
          <w:sz w:val="28"/>
          <w:szCs w:val="28"/>
        </w:rPr>
        <w:t>2</w:t>
      </w:r>
      <w:r w:rsidRPr="003965B2">
        <w:rPr>
          <w:sz w:val="28"/>
          <w:szCs w:val="28"/>
        </w:rPr>
        <w:t xml:space="preserve">.2019г. контрольно-ревизионным департаментом Министерства финансов Чеченской Республики охвачено контрольными мероприятиями </w:t>
      </w:r>
      <w:r>
        <w:rPr>
          <w:b/>
          <w:sz w:val="28"/>
          <w:szCs w:val="28"/>
        </w:rPr>
        <w:t>2</w:t>
      </w:r>
      <w:r w:rsidR="00BE4A22">
        <w:rPr>
          <w:b/>
          <w:sz w:val="28"/>
          <w:szCs w:val="28"/>
        </w:rPr>
        <w:t>41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 w:rsidR="00BE4A22">
        <w:rPr>
          <w:sz w:val="28"/>
          <w:szCs w:val="28"/>
        </w:rPr>
        <w:t>е</w:t>
      </w:r>
      <w:r w:rsidRPr="003965B2">
        <w:rPr>
          <w:sz w:val="28"/>
          <w:szCs w:val="28"/>
        </w:rPr>
        <w:t xml:space="preserve"> и предприяти</w:t>
      </w:r>
      <w:r w:rsidR="00BE4A22">
        <w:rPr>
          <w:sz w:val="28"/>
          <w:szCs w:val="28"/>
        </w:rPr>
        <w:t>е</w:t>
      </w:r>
      <w:r w:rsidRPr="003965B2">
        <w:rPr>
          <w:sz w:val="28"/>
          <w:szCs w:val="28"/>
        </w:rPr>
        <w:t>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 w:rsidR="00976AE6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мероп</w:t>
      </w:r>
      <w:r>
        <w:rPr>
          <w:sz w:val="28"/>
          <w:szCs w:val="28"/>
        </w:rPr>
        <w:t>рияти</w:t>
      </w:r>
      <w:r w:rsidR="00976AE6">
        <w:rPr>
          <w:sz w:val="28"/>
          <w:szCs w:val="28"/>
        </w:rPr>
        <w:t>й</w:t>
      </w:r>
      <w:r w:rsidRPr="003965B2">
        <w:rPr>
          <w:sz w:val="28"/>
          <w:szCs w:val="28"/>
        </w:rPr>
        <w:t>, в том числе охвачено ревизиями (</w:t>
      </w:r>
      <w:proofErr w:type="gramStart"/>
      <w:r w:rsidRPr="003965B2">
        <w:rPr>
          <w:sz w:val="28"/>
          <w:szCs w:val="28"/>
        </w:rPr>
        <w:t>проверками)  подведомственных</w:t>
      </w:r>
      <w:proofErr w:type="gramEnd"/>
      <w:r w:rsidRPr="003965B2">
        <w:rPr>
          <w:sz w:val="28"/>
          <w:szCs w:val="28"/>
        </w:rPr>
        <w:t xml:space="preserve"> министерствам и ведомствам </w:t>
      </w:r>
      <w:r w:rsidR="00976AE6">
        <w:rPr>
          <w:b/>
          <w:sz w:val="28"/>
          <w:szCs w:val="28"/>
        </w:rPr>
        <w:t>22</w:t>
      </w:r>
      <w:r w:rsidR="000D133B">
        <w:rPr>
          <w:b/>
          <w:sz w:val="28"/>
          <w:szCs w:val="28"/>
        </w:rPr>
        <w:t>0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F57952">
        <w:rPr>
          <w:sz w:val="28"/>
          <w:szCs w:val="28"/>
        </w:rPr>
        <w:t>ов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976AE6">
        <w:rPr>
          <w:b/>
          <w:sz w:val="28"/>
          <w:szCs w:val="28"/>
        </w:rPr>
        <w:t>22</w:t>
      </w:r>
      <w:r w:rsidR="000D133B">
        <w:rPr>
          <w:b/>
          <w:sz w:val="28"/>
          <w:szCs w:val="28"/>
        </w:rPr>
        <w:t>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</w:t>
      </w:r>
      <w:r w:rsidR="00515B05">
        <w:rPr>
          <w:sz w:val="28"/>
          <w:szCs w:val="28"/>
        </w:rPr>
        <w:t>ах</w:t>
      </w:r>
      <w:r w:rsidRPr="003965B2">
        <w:rPr>
          <w:sz w:val="28"/>
          <w:szCs w:val="28"/>
        </w:rPr>
        <w:t xml:space="preserve">, в </w:t>
      </w:r>
      <w:r>
        <w:rPr>
          <w:b/>
          <w:sz w:val="28"/>
          <w:szCs w:val="28"/>
        </w:rPr>
        <w:t>5</w:t>
      </w:r>
      <w:r w:rsidR="00976A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976AE6">
        <w:rPr>
          <w:b/>
          <w:sz w:val="28"/>
          <w:szCs w:val="28"/>
        </w:rPr>
        <w:t>53</w:t>
      </w:r>
      <w:r w:rsidRPr="00835D07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>
        <w:rPr>
          <w:sz w:val="28"/>
          <w:szCs w:val="28"/>
        </w:rPr>
        <w:t xml:space="preserve"> </w:t>
      </w:r>
      <w:r w:rsidR="00976AE6">
        <w:rPr>
          <w:b/>
          <w:sz w:val="28"/>
          <w:szCs w:val="28"/>
        </w:rPr>
        <w:t>5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76AE6">
        <w:rPr>
          <w:b/>
          <w:sz w:val="28"/>
          <w:szCs w:val="28"/>
        </w:rPr>
        <w:t>74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976AE6">
        <w:rPr>
          <w:b/>
          <w:sz w:val="28"/>
          <w:szCs w:val="28"/>
        </w:rPr>
        <w:t>32</w:t>
      </w:r>
      <w:r w:rsidRPr="003965B2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76AE6">
        <w:rPr>
          <w:b/>
          <w:sz w:val="28"/>
          <w:szCs w:val="28"/>
        </w:rPr>
        <w:t>41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76AE6">
        <w:rPr>
          <w:b/>
          <w:bCs/>
          <w:sz w:val="28"/>
          <w:szCs w:val="28"/>
        </w:rPr>
        <w:t>16 446 996</w:t>
      </w:r>
      <w:r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 w:rsidR="00976AE6">
        <w:rPr>
          <w:b/>
          <w:bCs/>
          <w:sz w:val="28"/>
          <w:szCs w:val="28"/>
        </w:rPr>
        <w:t>557 006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 w:rsidR="00976AE6">
        <w:rPr>
          <w:b/>
          <w:bCs/>
          <w:sz w:val="28"/>
          <w:szCs w:val="28"/>
        </w:rPr>
        <w:t>557 006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</w:p>
    <w:p w:rsidR="0012593E" w:rsidRPr="00235288" w:rsidRDefault="0012593E" w:rsidP="00235288">
      <w:pPr>
        <w:jc w:val="both"/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="00235288" w:rsidRPr="00235288">
        <w:rPr>
          <w:b/>
          <w:bCs/>
          <w:sz w:val="28"/>
          <w:szCs w:val="28"/>
        </w:rPr>
        <w:t>15 628</w:t>
      </w:r>
      <w:r w:rsidR="00235288">
        <w:rPr>
          <w:b/>
          <w:bCs/>
          <w:sz w:val="28"/>
          <w:szCs w:val="28"/>
        </w:rPr>
        <w:t> </w:t>
      </w:r>
      <w:r w:rsidR="00235288" w:rsidRPr="00235288">
        <w:rPr>
          <w:b/>
          <w:bCs/>
          <w:sz w:val="28"/>
          <w:szCs w:val="28"/>
        </w:rPr>
        <w:t>475</w:t>
      </w:r>
      <w:r w:rsidR="00235288">
        <w:rPr>
          <w:b/>
          <w:bCs/>
          <w:sz w:val="24"/>
          <w:szCs w:val="24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="00235288" w:rsidRPr="00235288">
        <w:rPr>
          <w:b/>
          <w:bCs/>
          <w:sz w:val="28"/>
          <w:szCs w:val="28"/>
        </w:rPr>
        <w:t>15 628</w:t>
      </w:r>
      <w:r w:rsidR="00235288">
        <w:rPr>
          <w:b/>
          <w:bCs/>
          <w:sz w:val="28"/>
          <w:szCs w:val="28"/>
        </w:rPr>
        <w:t> </w:t>
      </w:r>
      <w:r w:rsidR="00235288" w:rsidRPr="00235288">
        <w:rPr>
          <w:b/>
          <w:bCs/>
          <w:sz w:val="28"/>
          <w:szCs w:val="28"/>
        </w:rPr>
        <w:t>475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4</w:t>
      </w:r>
      <w:r w:rsidR="00823249">
        <w:rPr>
          <w:b/>
          <w:sz w:val="28"/>
          <w:szCs w:val="28"/>
        </w:rPr>
        <w:t>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 w:rsidR="00F57952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Pr="00BE63C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lastRenderedPageBreak/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30856">
        <w:rPr>
          <w:b/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30856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протокола;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13085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5 000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308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0 000 руб.</w:t>
      </w:r>
      <w:r>
        <w:rPr>
          <w:bCs/>
          <w:sz w:val="28"/>
          <w:szCs w:val="28"/>
        </w:rPr>
        <w:t>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–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130856">
        <w:rPr>
          <w:b/>
          <w:color w:val="000000"/>
          <w:sz w:val="28"/>
          <w:szCs w:val="28"/>
        </w:rPr>
        <w:t>5</w:t>
      </w:r>
      <w:r w:rsidRPr="003965B2">
        <w:rPr>
          <w:b/>
          <w:color w:val="000000"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 контрольных мероприятия,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объектах;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="002B07EA">
        <w:rPr>
          <w:sz w:val="28"/>
          <w:szCs w:val="28"/>
        </w:rPr>
        <w:t xml:space="preserve"> объекте;</w:t>
      </w:r>
    </w:p>
    <w:p w:rsidR="002B07EA" w:rsidRPr="003965B2" w:rsidRDefault="002B07EA" w:rsidP="0012593E">
      <w:pPr>
        <w:ind w:firstLine="567"/>
        <w:jc w:val="both"/>
        <w:rPr>
          <w:sz w:val="28"/>
          <w:szCs w:val="28"/>
        </w:rPr>
      </w:pPr>
      <w:r w:rsidRPr="002B07E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Pr="0098387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</w:t>
      </w:r>
      <w:r w:rsidR="002B07EA">
        <w:rPr>
          <w:b/>
          <w:sz w:val="28"/>
          <w:szCs w:val="28"/>
        </w:rPr>
        <w:t>5</w:t>
      </w:r>
      <w:r w:rsidRPr="003965B2">
        <w:rPr>
          <w:sz w:val="28"/>
          <w:szCs w:val="28"/>
        </w:rPr>
        <w:t xml:space="preserve"> внеплановых контрольных мероприятий на </w:t>
      </w:r>
      <w:r w:rsidR="002B07EA">
        <w:rPr>
          <w:b/>
          <w:sz w:val="28"/>
          <w:szCs w:val="28"/>
        </w:rPr>
        <w:t>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2B07EA" w:rsidRPr="003965B2" w:rsidRDefault="002B07EA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 w:rsidR="00BE2403"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 w:rsidR="00BE2403">
        <w:rPr>
          <w:sz w:val="28"/>
          <w:szCs w:val="28"/>
        </w:rPr>
        <w:t xml:space="preserve"> </w:t>
      </w:r>
      <w:r w:rsidR="00BE2403" w:rsidRPr="00BE2403">
        <w:rPr>
          <w:b/>
          <w:sz w:val="28"/>
          <w:szCs w:val="28"/>
        </w:rPr>
        <w:t>1</w:t>
      </w:r>
      <w:r w:rsidR="00BE2403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 w:rsidR="00BE2403">
        <w:rPr>
          <w:b/>
          <w:sz w:val="28"/>
          <w:szCs w:val="28"/>
        </w:rPr>
        <w:t>11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BE2403">
        <w:rPr>
          <w:b/>
          <w:sz w:val="28"/>
          <w:szCs w:val="28"/>
        </w:rPr>
        <w:t>5</w:t>
      </w:r>
      <w:r w:rsidRPr="003965B2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BE2403">
        <w:rPr>
          <w:b/>
          <w:sz w:val="28"/>
          <w:szCs w:val="28"/>
        </w:rPr>
        <w:t>6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BE2403">
        <w:rPr>
          <w:b/>
          <w:bCs/>
          <w:sz w:val="28"/>
          <w:szCs w:val="28"/>
        </w:rPr>
        <w:t>3 934 767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–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денежных средств – </w:t>
      </w:r>
      <w:r w:rsidRPr="00F566C9">
        <w:rPr>
          <w:b/>
          <w:bCs/>
          <w:sz w:val="28"/>
          <w:szCs w:val="28"/>
        </w:rPr>
        <w:t>5 720</w:t>
      </w:r>
      <w:r>
        <w:rPr>
          <w:bCs/>
          <w:sz w:val="28"/>
          <w:szCs w:val="28"/>
        </w:rPr>
        <w:t xml:space="preserve"> руб.</w:t>
      </w:r>
      <w:r w:rsidR="00BE2403">
        <w:rPr>
          <w:bCs/>
          <w:sz w:val="28"/>
          <w:szCs w:val="28"/>
        </w:rPr>
        <w:t>;</w:t>
      </w:r>
    </w:p>
    <w:p w:rsidR="00BE2403" w:rsidRPr="003965B2" w:rsidRDefault="00BE2403" w:rsidP="001259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– </w:t>
      </w:r>
      <w:r w:rsidRPr="00BE2403">
        <w:rPr>
          <w:b/>
          <w:bCs/>
          <w:sz w:val="28"/>
          <w:szCs w:val="28"/>
        </w:rPr>
        <w:t>2 789</w:t>
      </w:r>
      <w:r w:rsidR="00F57952">
        <w:rPr>
          <w:b/>
          <w:bCs/>
          <w:sz w:val="28"/>
          <w:szCs w:val="28"/>
        </w:rPr>
        <w:t> </w:t>
      </w:r>
      <w:r w:rsidRPr="00BE2403">
        <w:rPr>
          <w:b/>
          <w:bCs/>
          <w:sz w:val="28"/>
          <w:szCs w:val="28"/>
        </w:rPr>
        <w:t>179</w:t>
      </w:r>
      <w:r w:rsidR="00F57952">
        <w:rPr>
          <w:b/>
          <w:bCs/>
          <w:sz w:val="28"/>
          <w:szCs w:val="28"/>
        </w:rPr>
        <w:t xml:space="preserve"> </w:t>
      </w:r>
      <w:r w:rsidR="00F57952" w:rsidRPr="00F57952">
        <w:rPr>
          <w:bCs/>
          <w:sz w:val="28"/>
          <w:szCs w:val="28"/>
        </w:rPr>
        <w:t>руб.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 w:rsidR="00BE2403">
        <w:rPr>
          <w:b/>
          <w:bCs/>
          <w:sz w:val="28"/>
          <w:szCs w:val="28"/>
        </w:rPr>
        <w:t>5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 w:rsidR="0098387B"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</w:t>
      </w:r>
      <w:r w:rsidRPr="003965B2">
        <w:rPr>
          <w:bCs/>
          <w:sz w:val="28"/>
          <w:szCs w:val="28"/>
        </w:rPr>
        <w:t xml:space="preserve"> контрольных мероприятий на сумму – </w:t>
      </w:r>
      <w:r w:rsidR="00F57952">
        <w:rPr>
          <w:b/>
          <w:bCs/>
          <w:sz w:val="28"/>
          <w:szCs w:val="28"/>
        </w:rPr>
        <w:t>3 934 767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материала на сумму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</w:t>
      </w:r>
    </w:p>
    <w:p w:rsidR="00BE2403" w:rsidRPr="003965B2" w:rsidRDefault="00BE2403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</w:t>
      </w:r>
      <w:r>
        <w:rPr>
          <w:sz w:val="28"/>
          <w:szCs w:val="28"/>
        </w:rPr>
        <w:t>следственного комитета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материал на сумму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Pr="00BE240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 w:rsidRPr="00BE2403">
        <w:rPr>
          <w:b/>
          <w:bCs/>
          <w:sz w:val="28"/>
          <w:szCs w:val="28"/>
        </w:rPr>
        <w:t>789</w:t>
      </w:r>
      <w:r w:rsidR="00F57952">
        <w:rPr>
          <w:b/>
          <w:bCs/>
          <w:sz w:val="28"/>
          <w:szCs w:val="28"/>
        </w:rPr>
        <w:t> </w:t>
      </w:r>
      <w:r w:rsidRPr="00BE2403">
        <w:rPr>
          <w:b/>
          <w:bCs/>
          <w:sz w:val="28"/>
          <w:szCs w:val="28"/>
        </w:rPr>
        <w:t>179</w:t>
      </w:r>
      <w:r w:rsidR="00F57952">
        <w:rPr>
          <w:b/>
          <w:bCs/>
          <w:sz w:val="28"/>
          <w:szCs w:val="28"/>
        </w:rPr>
        <w:t> </w:t>
      </w:r>
      <w:r w:rsidRPr="003965B2">
        <w:rPr>
          <w:sz w:val="28"/>
          <w:szCs w:val="28"/>
        </w:rPr>
        <w:t>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 обращению прокуратуры с</w:t>
      </w:r>
      <w:r w:rsidRPr="003965B2">
        <w:rPr>
          <w:bCs/>
          <w:sz w:val="28"/>
          <w:szCs w:val="28"/>
        </w:rPr>
        <w:t xml:space="preserve">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</w:t>
      </w:r>
      <w:r>
        <w:rPr>
          <w:bCs/>
          <w:sz w:val="28"/>
          <w:szCs w:val="28"/>
        </w:rPr>
        <w:t>ушении, по ч.1 ст.</w:t>
      </w:r>
      <w:r w:rsidRPr="003965B2">
        <w:rPr>
          <w:bCs/>
          <w:sz w:val="28"/>
          <w:szCs w:val="28"/>
        </w:rPr>
        <w:t>15.15.5. КоАП РФ нарушение условий предоставления субсидий.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</w:t>
      </w:r>
      <w:r w:rsidRPr="003965B2">
        <w:rPr>
          <w:b/>
          <w:bCs/>
          <w:sz w:val="28"/>
          <w:szCs w:val="28"/>
        </w:rPr>
        <w:t>10 000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</w:p>
    <w:p w:rsidR="0012593E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2019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2</w:t>
      </w:r>
      <w:r>
        <w:rPr>
          <w:sz w:val="28"/>
          <w:szCs w:val="28"/>
        </w:rPr>
        <w:t>8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второе полугодие 2019 года, </w:t>
      </w:r>
      <w:r w:rsidRPr="00651EBC">
        <w:rPr>
          <w:sz w:val="28"/>
          <w:szCs w:val="28"/>
        </w:rPr>
        <w:t>утвержденного приказом Министерства финанс</w:t>
      </w:r>
      <w:r>
        <w:rPr>
          <w:sz w:val="28"/>
          <w:szCs w:val="28"/>
        </w:rPr>
        <w:t>ов Чеченской Республики от 25.06.2019</w:t>
      </w:r>
      <w:r w:rsidRPr="00651E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проведено </w:t>
      </w:r>
      <w:r>
        <w:rPr>
          <w:b/>
          <w:sz w:val="28"/>
          <w:szCs w:val="28"/>
        </w:rPr>
        <w:t>1</w:t>
      </w:r>
      <w:r w:rsidR="000D133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нарушений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CA5AFA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</w:t>
      </w:r>
      <w:r w:rsidRPr="00CA5AFA">
        <w:rPr>
          <w:bCs/>
          <w:sz w:val="28"/>
          <w:szCs w:val="28"/>
        </w:rPr>
        <w:t xml:space="preserve"> 4 статьи 7.29.3 </w:t>
      </w:r>
      <w:r>
        <w:rPr>
          <w:bCs/>
          <w:sz w:val="28"/>
          <w:szCs w:val="28"/>
        </w:rPr>
        <w:t>н</w:t>
      </w:r>
      <w:r w:rsidRPr="00CA5AFA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CA5AFA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105 000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>
        <w:rPr>
          <w:b/>
          <w:bCs/>
          <w:sz w:val="28"/>
          <w:szCs w:val="28"/>
        </w:rPr>
        <w:t xml:space="preserve">76 </w:t>
      </w:r>
      <w:r>
        <w:rPr>
          <w:bCs/>
          <w:sz w:val="28"/>
          <w:szCs w:val="28"/>
        </w:rPr>
        <w:t>материалов проверок для рассмотрения в Министерство финансов Чеченской Республики.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>
        <w:rPr>
          <w:b/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75</w:t>
      </w:r>
      <w:r>
        <w:rPr>
          <w:bCs/>
          <w:sz w:val="28"/>
          <w:szCs w:val="28"/>
        </w:rPr>
        <w:t>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375 000</w:t>
      </w:r>
      <w:r>
        <w:rPr>
          <w:bCs/>
          <w:sz w:val="28"/>
          <w:szCs w:val="28"/>
        </w:rPr>
        <w:t xml:space="preserve"> руб.;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</w:p>
    <w:p w:rsidR="0012593E" w:rsidRDefault="0012593E" w:rsidP="0012593E">
      <w:pPr>
        <w:ind w:firstLine="708"/>
        <w:jc w:val="center"/>
        <w:rPr>
          <w:bCs/>
          <w:sz w:val="28"/>
          <w:szCs w:val="28"/>
        </w:rPr>
      </w:pPr>
    </w:p>
    <w:p w:rsidR="002E1D06" w:rsidRDefault="002E1D06" w:rsidP="00997D06">
      <w:pPr>
        <w:ind w:firstLine="708"/>
        <w:jc w:val="center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6D30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133B"/>
    <w:rsid w:val="000D29D2"/>
    <w:rsid w:val="000D4C38"/>
    <w:rsid w:val="000E6924"/>
    <w:rsid w:val="0010646A"/>
    <w:rsid w:val="0012593E"/>
    <w:rsid w:val="00130856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054B0"/>
    <w:rsid w:val="00211268"/>
    <w:rsid w:val="0021242E"/>
    <w:rsid w:val="00227D7B"/>
    <w:rsid w:val="00235288"/>
    <w:rsid w:val="00253B06"/>
    <w:rsid w:val="002564AD"/>
    <w:rsid w:val="002572CD"/>
    <w:rsid w:val="00261742"/>
    <w:rsid w:val="002825E7"/>
    <w:rsid w:val="002848BE"/>
    <w:rsid w:val="00286E2E"/>
    <w:rsid w:val="00293EF2"/>
    <w:rsid w:val="00297856"/>
    <w:rsid w:val="002A60D1"/>
    <w:rsid w:val="002A7554"/>
    <w:rsid w:val="002B07EA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1412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3E6DBF"/>
    <w:rsid w:val="003F5A77"/>
    <w:rsid w:val="00401DF5"/>
    <w:rsid w:val="004023B6"/>
    <w:rsid w:val="00403707"/>
    <w:rsid w:val="00405619"/>
    <w:rsid w:val="00411F1A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5B05"/>
    <w:rsid w:val="0051632F"/>
    <w:rsid w:val="00520E5D"/>
    <w:rsid w:val="00524F6F"/>
    <w:rsid w:val="00531C6E"/>
    <w:rsid w:val="00533948"/>
    <w:rsid w:val="00536FDB"/>
    <w:rsid w:val="005558B0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6F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23249"/>
    <w:rsid w:val="00830558"/>
    <w:rsid w:val="00835D07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1E5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76AE6"/>
    <w:rsid w:val="0098007D"/>
    <w:rsid w:val="00981DC0"/>
    <w:rsid w:val="0098387B"/>
    <w:rsid w:val="00985292"/>
    <w:rsid w:val="00991A35"/>
    <w:rsid w:val="00997D06"/>
    <w:rsid w:val="00997DDA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14F5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403"/>
    <w:rsid w:val="00BE2DEF"/>
    <w:rsid w:val="00BE4A22"/>
    <w:rsid w:val="00BE7D65"/>
    <w:rsid w:val="00BF02C8"/>
    <w:rsid w:val="00BF1C31"/>
    <w:rsid w:val="00C058EB"/>
    <w:rsid w:val="00C075E5"/>
    <w:rsid w:val="00C13ABC"/>
    <w:rsid w:val="00C15A01"/>
    <w:rsid w:val="00C16156"/>
    <w:rsid w:val="00C171C5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18F2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D129E"/>
    <w:rsid w:val="00DE2885"/>
    <w:rsid w:val="00E03CAD"/>
    <w:rsid w:val="00E07021"/>
    <w:rsid w:val="00E07C47"/>
    <w:rsid w:val="00E11675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6C9"/>
    <w:rsid w:val="00F56825"/>
    <w:rsid w:val="00F57952"/>
    <w:rsid w:val="00F60C61"/>
    <w:rsid w:val="00F83D78"/>
    <w:rsid w:val="00F9199D"/>
    <w:rsid w:val="00F927BC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36FF-D3C0-4463-9029-D9FE1DEA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4</cp:revision>
  <cp:lastPrinted>2019-11-01T13:40:00Z</cp:lastPrinted>
  <dcterms:created xsi:type="dcterms:W3CDTF">2019-12-09T06:26:00Z</dcterms:created>
  <dcterms:modified xsi:type="dcterms:W3CDTF">2019-12-09T06:31:00Z</dcterms:modified>
</cp:coreProperties>
</file>