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5201F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F328F3" w:rsidRDefault="00F328F3" w:rsidP="005A67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55F3" w:rsidRDefault="000555F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0483">
              <w:rPr>
                <w:rFonts w:ascii="Times New Roman" w:hAnsi="Times New Roman" w:cs="Times New Roman"/>
                <w:sz w:val="28"/>
                <w:szCs w:val="28"/>
              </w:rPr>
              <w:t xml:space="preserve">ГКУ «Отдел труда и социального развития» Ленинского района </w:t>
            </w:r>
            <w:r w:rsidR="00EF27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D04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D0483">
              <w:rPr>
                <w:rFonts w:ascii="Times New Roman" w:hAnsi="Times New Roman" w:cs="Times New Roman"/>
                <w:sz w:val="28"/>
                <w:szCs w:val="28"/>
              </w:rPr>
              <w:t>. Грозного</w:t>
            </w:r>
            <w:r w:rsidRPr="006A0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1BC" w:rsidRPr="00600D6B" w:rsidRDefault="000555F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ДУДАЕВУ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555F3" w:rsidRPr="00747DBC" w:rsidRDefault="000555F3" w:rsidP="0005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747D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64020</w:t>
            </w:r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Чеченская Республика, </w:t>
            </w:r>
            <w:proofErr w:type="gramStart"/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47DB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 Грозный</w:t>
            </w:r>
            <w:r w:rsidRPr="0074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F2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7DBC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Моздокская, 39.</w:t>
            </w:r>
          </w:p>
          <w:p w:rsidR="001D46F5" w:rsidRPr="00600D6B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0555F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09.03.16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422/29</w:t>
      </w:r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AE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  от 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D2522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B8" w:rsidRPr="00B02A8F" w:rsidRDefault="001D46F5" w:rsidP="001B37B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№ 01-03-02/21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5F3" w:rsidRPr="00FD0483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="00F328F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B37B8" w:rsidRPr="00FD0483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37B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  <w:proofErr w:type="gramEnd"/>
    </w:p>
    <w:p w:rsidR="001B37B8" w:rsidRPr="00B02A8F" w:rsidRDefault="001B37B8" w:rsidP="001B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1B37B8" w:rsidRPr="00B02A8F" w:rsidRDefault="001B37B8" w:rsidP="001B37B8">
      <w:pPr>
        <w:pStyle w:val="a5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1D46F5" w:rsidRPr="00600D6B" w:rsidRDefault="004C58CD" w:rsidP="001B37B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1B37B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9" w:rsidRPr="00600D6B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C3CE1" w:rsidRPr="00600D6B" w:rsidTr="00540EDB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Default="00AD3E77" w:rsidP="00AD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CE1" w:rsidRPr="008E7F7C" w:rsidRDefault="00FC3CE1" w:rsidP="0092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540EDB" w:rsidP="00540ED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805A39" w:rsidRPr="00920A13" w:rsidRDefault="00540EDB" w:rsidP="00805A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приказу </w:t>
            </w:r>
            <w:r w:rsidR="00805A39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ГКУ «Отдел труда и социального развития» Ленинского района </w:t>
            </w:r>
            <w:proofErr w:type="gramStart"/>
            <w:r w:rsidR="00805A39" w:rsidRPr="00920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05A39" w:rsidRPr="00920A13">
              <w:rPr>
                <w:rFonts w:ascii="Times New Roman" w:hAnsi="Times New Roman" w:cs="Times New Roman"/>
                <w:sz w:val="24"/>
                <w:szCs w:val="24"/>
              </w:rPr>
              <w:t>. Грозного</w:t>
            </w:r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15.08.2014 года </w:t>
            </w:r>
            <w:r w:rsidR="00926803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18-п контрактным управляющим назначена </w:t>
            </w:r>
            <w:proofErr w:type="spellStart"/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>Абуезидовна</w:t>
            </w:r>
            <w:proofErr w:type="spellEnd"/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которая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«Контрактная система в сфере закупок товаров, работ, услуг. </w:t>
            </w:r>
            <w:proofErr w:type="gramStart"/>
            <w:r w:rsidR="00805A39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закупками», выданное 26.08.2014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</w:p>
          <w:p w:rsidR="00805A39" w:rsidRPr="00920A13" w:rsidRDefault="00805A39" w:rsidP="00805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ГКУ «Отдел труда и социального развития» Ленинского района </w:t>
            </w:r>
            <w:proofErr w:type="gramStart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 Грозного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назначении контрактного управляющего нарушены требования части 23 статьи 112 ФЗ-44.</w:t>
            </w:r>
          </w:p>
          <w:p w:rsidR="00FC3CE1" w:rsidRPr="00920A13" w:rsidRDefault="00FC3CE1" w:rsidP="00600D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FC3CE1" w:rsidP="00FC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0306D3" w:rsidP="00EF279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           с</w:t>
            </w:r>
            <w:r w:rsidR="0092680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2793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8.2014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года по настоящее время.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C3CE1" w:rsidP="000306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CE1" w:rsidRPr="00920A13" w:rsidRDefault="000306D3" w:rsidP="0054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Часть 23 статьи 112 </w:t>
            </w:r>
            <w:r w:rsidR="00621D82" w:rsidRPr="00920A13">
              <w:rPr>
                <w:rFonts w:ascii="Times New Roman" w:eastAsia="Times New Roman" w:hAnsi="Times New Roman" w:cs="Times New Roman"/>
                <w:sz w:val="24"/>
                <w:szCs w:val="24"/>
              </w:rPr>
              <w:t>ФЗ-44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CE1" w:rsidRPr="00600D6B" w:rsidTr="00540EDB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0306D3" w:rsidP="000306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4E24A0" w:rsidRPr="00920A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/2016 от </w:t>
            </w:r>
            <w:r w:rsidR="00926803" w:rsidRPr="00920A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.02.2016 года.</w:t>
            </w:r>
          </w:p>
          <w:p w:rsidR="00FC3CE1" w:rsidRPr="00920A13" w:rsidRDefault="000306D3" w:rsidP="0003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2. Копия приказа от </w:t>
            </w:r>
            <w:r w:rsidR="00747DBC" w:rsidRPr="00920A13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47DBC" w:rsidRPr="00920A13">
              <w:rPr>
                <w:rFonts w:ascii="Times New Roman" w:hAnsi="Times New Roman" w:cs="Times New Roman"/>
                <w:sz w:val="24"/>
                <w:szCs w:val="24"/>
              </w:rPr>
              <w:t>ода № 18-п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53" w:rsidRPr="00600D6B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357C7D" w:rsidP="00540ED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>ГКУ «Отдел труда и социального развития» Ленинского района г. Грозного</w:t>
            </w:r>
            <w:r w:rsidR="00346C2C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554BBF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плана-графика закупок на 2015</w:t>
            </w:r>
            <w:r w:rsidR="005733AC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учтены требования</w:t>
            </w:r>
            <w:r w:rsidR="00CD53F1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1 пункта 5, </w:t>
            </w:r>
            <w:r w:rsidR="00CD53F1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DB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 «е», </w:t>
            </w:r>
            <w:r w:rsidR="00600D6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«о» </w:t>
            </w:r>
            <w:r w:rsidR="00600D6B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фиков</w:t>
            </w:r>
            <w:proofErr w:type="gramEnd"/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заказов на 2015 и 2016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утвержденных приказом </w:t>
            </w:r>
            <w:r w:rsidR="004E41D9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№ 182/7н),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именно:</w:t>
            </w:r>
            <w:r w:rsidR="00540EDB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B37B8" w:rsidRPr="00920A13" w:rsidRDefault="00540EDB" w:rsidP="00540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8" w:history="1">
              <w:r w:rsidR="001B37B8"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</w:t>
            </w:r>
            <w:r w:rsidR="003F0E0E" w:rsidRPr="00920A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="001B37B8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№ 159-ст, с учетом изменений 1/2013 - 68/2014 городу Грозный присвоен код № 96 701 000 001.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2.  В столбце 6 планов-графиков закупок, осуществляемых путем проведения открытых аукционов и запросов котировок не приводятся: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2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="00D57ED1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ФЗ-44 (при наличии таких преимуществ);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</w:t>
            </w:r>
            <w:r w:rsidRPr="0092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4" w:history="1">
              <w:r w:rsidRPr="00920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>3. В столбце 14 не указывается обоснование внесения изменений в утвержденный план-график со ссылкой на соответствующий случай, предусмотренный пунктом 15 примечаний к форме планов-графиков, что является нарушением перечисления «о» подпункта 2 пункта 5 Особенностей, утв. приказом МЭР РФ и ФК № 182/7н, и части 2 статьи 112 ФЗ-44.</w:t>
            </w:r>
          </w:p>
          <w:p w:rsidR="001B37B8" w:rsidRPr="00920A13" w:rsidRDefault="001B37B8" w:rsidP="001B37B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1D46F5" w:rsidRPr="00920A13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D86DB0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D86DB0" w:rsidRPr="0092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подпункта 1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</w:t>
            </w:r>
            <w:r w:rsidR="00CD53F1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«е», </w:t>
            </w:r>
            <w:r w:rsidR="00CC393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«о» </w:t>
            </w:r>
            <w:r w:rsidR="00CC393F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920A13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600D6B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4E24A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4E24A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CC393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20A13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01" w:rsidRDefault="00150D01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00D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0D6B">
        <w:rPr>
          <w:rFonts w:ascii="Times New Roman" w:hAnsi="Times New Roman" w:cs="Times New Roman"/>
          <w:sz w:val="28"/>
          <w:szCs w:val="28"/>
        </w:rPr>
        <w:t>В срок до 01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нарушение требований части 23 статьи 112 ФЗ-44, осуществив назначение контрактным управляющим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BE9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контрактного управляющего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F91" w:rsidRPr="006D2F91">
        <w:rPr>
          <w:rFonts w:ascii="Times New Roman" w:hAnsi="Times New Roman" w:cs="Times New Roman"/>
          <w:sz w:val="28"/>
          <w:szCs w:val="28"/>
        </w:rPr>
        <w:t>ГКУ «Отдел труда</w:t>
      </w:r>
      <w:proofErr w:type="gramEnd"/>
      <w:r w:rsidR="006D2F91" w:rsidRPr="006D2F91">
        <w:rPr>
          <w:rFonts w:ascii="Times New Roman" w:hAnsi="Times New Roman" w:cs="Times New Roman"/>
          <w:sz w:val="28"/>
          <w:szCs w:val="28"/>
        </w:rPr>
        <w:t xml:space="preserve"> и социального развития» Ленинского района </w:t>
      </w:r>
      <w:proofErr w:type="gramStart"/>
      <w:r w:rsidR="006D2F91" w:rsidRPr="006D2F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D2F91" w:rsidRPr="006D2F91">
        <w:rPr>
          <w:rFonts w:ascii="Times New Roman" w:hAnsi="Times New Roman" w:cs="Times New Roman"/>
          <w:sz w:val="28"/>
          <w:szCs w:val="28"/>
        </w:rPr>
        <w:t>. Грозного</w:t>
      </w:r>
      <w:r w:rsidRPr="006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Pr="00600D6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600D6B">
        <w:rPr>
          <w:rFonts w:ascii="Times New Roman" w:hAnsi="Times New Roman" w:cs="Times New Roman"/>
          <w:sz w:val="28"/>
          <w:szCs w:val="28"/>
        </w:rPr>
        <w:t>частью 6 статьи 38 ФЗ-44.</w:t>
      </w:r>
    </w:p>
    <w:p w:rsidR="005E7BE9" w:rsidRPr="00600D6B" w:rsidRDefault="005E7BE9" w:rsidP="005E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AD3E77">
        <w:rPr>
          <w:rFonts w:ascii="Times New Roman" w:hAnsi="Times New Roman" w:cs="Times New Roman"/>
          <w:sz w:val="28"/>
          <w:szCs w:val="28"/>
        </w:rPr>
        <w:t>01 мая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7" w:history="1"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Информацию о результатах исполнения настоящего Предписания представить в Министерство финансов Чеченской Республики до </w:t>
      </w:r>
      <w:r w:rsidR="00AD3E77">
        <w:rPr>
          <w:rFonts w:ascii="Times New Roman" w:hAnsi="Times New Roman" w:cs="Times New Roman"/>
          <w:sz w:val="28"/>
          <w:szCs w:val="28"/>
        </w:rPr>
        <w:t>01 мая</w:t>
      </w:r>
      <w:r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3C270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70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57ED1" w:rsidRDefault="00D57ED1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К.Д.</w:t>
      </w:r>
    </w:p>
    <w:p w:rsidR="005E7BE9" w:rsidRPr="001B3465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p w:rsidR="00A5460C" w:rsidRPr="001B3465" w:rsidRDefault="00A5460C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1B3465" w:rsidSect="00747DBC">
      <w:headerReference w:type="default" r:id="rId19"/>
      <w:footerReference w:type="default" r:id="rId20"/>
      <w:footerReference w:type="first" r:id="rId21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EC" w:rsidRDefault="005437EC" w:rsidP="001B3465">
      <w:pPr>
        <w:spacing w:after="0" w:line="240" w:lineRule="auto"/>
      </w:pPr>
      <w:r>
        <w:separator/>
      </w:r>
    </w:p>
  </w:endnote>
  <w:endnote w:type="continuationSeparator" w:id="0">
    <w:p w:rsidR="005437EC" w:rsidRDefault="005437EC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5201F5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5201F5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EC" w:rsidRDefault="005437EC" w:rsidP="001B3465">
      <w:pPr>
        <w:spacing w:after="0" w:line="240" w:lineRule="auto"/>
      </w:pPr>
      <w:r>
        <w:separator/>
      </w:r>
    </w:p>
  </w:footnote>
  <w:footnote w:type="continuationSeparator" w:id="0">
    <w:p w:rsidR="005437EC" w:rsidRDefault="005437EC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fldSimple w:instr=" PAGE   \* MERGEFORMAT ">
          <w:r w:rsidR="002F45CF">
            <w:rPr>
              <w:noProof/>
            </w:rPr>
            <w:t>4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555F3"/>
    <w:rsid w:val="0006527E"/>
    <w:rsid w:val="00066FBF"/>
    <w:rsid w:val="00070CE2"/>
    <w:rsid w:val="000B258E"/>
    <w:rsid w:val="000B4044"/>
    <w:rsid w:val="000D4365"/>
    <w:rsid w:val="000D5E16"/>
    <w:rsid w:val="000D7B52"/>
    <w:rsid w:val="000E3CBB"/>
    <w:rsid w:val="000F0599"/>
    <w:rsid w:val="00100BE1"/>
    <w:rsid w:val="00121F47"/>
    <w:rsid w:val="00150D01"/>
    <w:rsid w:val="001719F4"/>
    <w:rsid w:val="001844F5"/>
    <w:rsid w:val="00187306"/>
    <w:rsid w:val="001B3465"/>
    <w:rsid w:val="001B37B8"/>
    <w:rsid w:val="001C5FA0"/>
    <w:rsid w:val="001C6A08"/>
    <w:rsid w:val="001D46F5"/>
    <w:rsid w:val="001D7D2E"/>
    <w:rsid w:val="001E0337"/>
    <w:rsid w:val="00215AE1"/>
    <w:rsid w:val="002665D0"/>
    <w:rsid w:val="00272AD0"/>
    <w:rsid w:val="00284B9A"/>
    <w:rsid w:val="002963E0"/>
    <w:rsid w:val="002F45CF"/>
    <w:rsid w:val="00305218"/>
    <w:rsid w:val="00334DCD"/>
    <w:rsid w:val="00346C2C"/>
    <w:rsid w:val="00357C7D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F0E0E"/>
    <w:rsid w:val="004241D5"/>
    <w:rsid w:val="00434092"/>
    <w:rsid w:val="004678FF"/>
    <w:rsid w:val="00467E0C"/>
    <w:rsid w:val="00494D50"/>
    <w:rsid w:val="004A586A"/>
    <w:rsid w:val="004C58CD"/>
    <w:rsid w:val="004D2A9A"/>
    <w:rsid w:val="004D7543"/>
    <w:rsid w:val="004E24A0"/>
    <w:rsid w:val="004E41D9"/>
    <w:rsid w:val="004E4357"/>
    <w:rsid w:val="004E46F2"/>
    <w:rsid w:val="004F3F9C"/>
    <w:rsid w:val="005201F5"/>
    <w:rsid w:val="00540EDB"/>
    <w:rsid w:val="005437EC"/>
    <w:rsid w:val="00551F5D"/>
    <w:rsid w:val="00554BBF"/>
    <w:rsid w:val="005733AC"/>
    <w:rsid w:val="0057426B"/>
    <w:rsid w:val="00596C2E"/>
    <w:rsid w:val="005A11AE"/>
    <w:rsid w:val="005A6738"/>
    <w:rsid w:val="005D11E6"/>
    <w:rsid w:val="005E7BE9"/>
    <w:rsid w:val="005F62ED"/>
    <w:rsid w:val="00600D6B"/>
    <w:rsid w:val="00621D82"/>
    <w:rsid w:val="00626560"/>
    <w:rsid w:val="00631125"/>
    <w:rsid w:val="00635637"/>
    <w:rsid w:val="006A1F29"/>
    <w:rsid w:val="006B7BD5"/>
    <w:rsid w:val="006D2F91"/>
    <w:rsid w:val="006D3FC3"/>
    <w:rsid w:val="006F0CB4"/>
    <w:rsid w:val="0074619A"/>
    <w:rsid w:val="00747DBC"/>
    <w:rsid w:val="007646C6"/>
    <w:rsid w:val="00787F48"/>
    <w:rsid w:val="00805A39"/>
    <w:rsid w:val="00823A0C"/>
    <w:rsid w:val="00843C57"/>
    <w:rsid w:val="00844961"/>
    <w:rsid w:val="00867131"/>
    <w:rsid w:val="00882F57"/>
    <w:rsid w:val="00887BE9"/>
    <w:rsid w:val="008907BB"/>
    <w:rsid w:val="008955C7"/>
    <w:rsid w:val="008C7EE5"/>
    <w:rsid w:val="008E7F7C"/>
    <w:rsid w:val="008F7261"/>
    <w:rsid w:val="00920A13"/>
    <w:rsid w:val="00923FCF"/>
    <w:rsid w:val="00926803"/>
    <w:rsid w:val="00955E14"/>
    <w:rsid w:val="009942F9"/>
    <w:rsid w:val="009D5965"/>
    <w:rsid w:val="009D6887"/>
    <w:rsid w:val="009F44CD"/>
    <w:rsid w:val="009F4839"/>
    <w:rsid w:val="00A201B9"/>
    <w:rsid w:val="00A2414F"/>
    <w:rsid w:val="00A2655E"/>
    <w:rsid w:val="00A5460C"/>
    <w:rsid w:val="00A54DE5"/>
    <w:rsid w:val="00A55FC0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B26FF3"/>
    <w:rsid w:val="00C0178C"/>
    <w:rsid w:val="00C067C8"/>
    <w:rsid w:val="00C37C20"/>
    <w:rsid w:val="00C462E9"/>
    <w:rsid w:val="00C479A0"/>
    <w:rsid w:val="00CA556B"/>
    <w:rsid w:val="00CA69EA"/>
    <w:rsid w:val="00CC393F"/>
    <w:rsid w:val="00CD53F1"/>
    <w:rsid w:val="00CF2942"/>
    <w:rsid w:val="00D15318"/>
    <w:rsid w:val="00D25228"/>
    <w:rsid w:val="00D27785"/>
    <w:rsid w:val="00D51790"/>
    <w:rsid w:val="00D57ED1"/>
    <w:rsid w:val="00D86DB0"/>
    <w:rsid w:val="00D87A3E"/>
    <w:rsid w:val="00DA6AA2"/>
    <w:rsid w:val="00DB3689"/>
    <w:rsid w:val="00DF44E0"/>
    <w:rsid w:val="00E435AE"/>
    <w:rsid w:val="00E921BC"/>
    <w:rsid w:val="00EA7A41"/>
    <w:rsid w:val="00EF2793"/>
    <w:rsid w:val="00F17F53"/>
    <w:rsid w:val="00F20613"/>
    <w:rsid w:val="00F27FC7"/>
    <w:rsid w:val="00F328F3"/>
    <w:rsid w:val="00F7144B"/>
    <w:rsid w:val="00F80043"/>
    <w:rsid w:val="00F83CE4"/>
    <w:rsid w:val="00FA4FD0"/>
    <w:rsid w:val="00FB4C1F"/>
    <w:rsid w:val="00FC3CE1"/>
    <w:rsid w:val="00FC543D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70253464&amp;sub=9927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consultantplus://offline/ref=B9925F3B72D46562B62AD56EBDAF294982D067A8F09112B62986C0FC9D083F5FCCC39E5F8207B995XEN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84</cp:revision>
  <cp:lastPrinted>2016-03-09T11:31:00Z</cp:lastPrinted>
  <dcterms:created xsi:type="dcterms:W3CDTF">2015-09-03T06:07:00Z</dcterms:created>
  <dcterms:modified xsi:type="dcterms:W3CDTF">2016-03-10T05:56:00Z</dcterms:modified>
</cp:coreProperties>
</file>