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74" w:rsidRPr="00D87E74" w:rsidRDefault="00D87E74" w:rsidP="00D87E74">
      <w:pPr>
        <w:spacing w:line="320" w:lineRule="exact"/>
        <w:jc w:val="center"/>
        <w:rPr>
          <w:b/>
          <w:bCs/>
        </w:rPr>
      </w:pPr>
      <w:r w:rsidRPr="00D87E74">
        <w:rPr>
          <w:b/>
          <w:bCs/>
        </w:rPr>
        <w:t>ОТЧЕТ</w:t>
      </w:r>
    </w:p>
    <w:p w:rsidR="00D87E74" w:rsidRPr="00D87E74" w:rsidRDefault="00D87E74" w:rsidP="00D87E74">
      <w:pPr>
        <w:spacing w:line="320" w:lineRule="exact"/>
        <w:jc w:val="center"/>
        <w:rPr>
          <w:b/>
          <w:bCs/>
        </w:rPr>
      </w:pPr>
      <w:r w:rsidRPr="00D87E74">
        <w:rPr>
          <w:b/>
          <w:bCs/>
        </w:rPr>
        <w:t xml:space="preserve"> о результатах мониторинга качества финансового менеджмента, осуществляемого главными распорядителями средств бюджета Чеченской Республики за 20</w:t>
      </w:r>
      <w:r w:rsidR="008E3625">
        <w:rPr>
          <w:b/>
          <w:bCs/>
        </w:rPr>
        <w:t>20</w:t>
      </w:r>
      <w:r w:rsidRPr="00D87E74">
        <w:rPr>
          <w:b/>
          <w:bCs/>
        </w:rPr>
        <w:t> год</w:t>
      </w:r>
    </w:p>
    <w:p w:rsidR="00D87E74" w:rsidRPr="00170E17" w:rsidRDefault="00D87E74" w:rsidP="00D87E74">
      <w:pPr>
        <w:ind w:firstLine="709"/>
        <w:jc w:val="center"/>
        <w:rPr>
          <w:b/>
          <w:bCs/>
          <w:sz w:val="32"/>
          <w:szCs w:val="32"/>
        </w:rPr>
      </w:pPr>
    </w:p>
    <w:p w:rsidR="00D87E74" w:rsidRPr="00F44426" w:rsidRDefault="00D87E74" w:rsidP="00D87E74">
      <w:pPr>
        <w:ind w:firstLine="709"/>
        <w:jc w:val="both"/>
      </w:pPr>
      <w:r w:rsidRPr="00035340">
        <w:t>Министерством финансов Чеченской Республики в соответствии с постановлением Правительства Чеченско</w:t>
      </w:r>
      <w:r>
        <w:t>й Республики от 28 декабря 2010 </w:t>
      </w:r>
      <w:r w:rsidRPr="00035340">
        <w:t xml:space="preserve">года № 247 «Об организации мониторинга качества финансового менеджмента, осуществляемого главными распорядителями средств бюджета </w:t>
      </w:r>
      <w:r w:rsidRPr="007B5FE6">
        <w:t xml:space="preserve">Чеченской Республики» </w:t>
      </w:r>
      <w:r w:rsidR="00387D72">
        <w:t>(далее – постановление Правительства Ч</w:t>
      </w:r>
      <w:r w:rsidR="001469A4">
        <w:t xml:space="preserve">еченской </w:t>
      </w:r>
      <w:r w:rsidR="00387D72">
        <w:t>Р</w:t>
      </w:r>
      <w:r w:rsidR="001469A4">
        <w:t>еспублики № </w:t>
      </w:r>
      <w:r w:rsidR="00387D72">
        <w:t xml:space="preserve">247) </w:t>
      </w:r>
      <w:r w:rsidRPr="007B5FE6">
        <w:t xml:space="preserve">и приказом Министерства финансов Чеченской Республики от </w:t>
      </w:r>
      <w:r w:rsidR="001469A4">
        <w:t>3 марта </w:t>
      </w:r>
      <w:r>
        <w:t>2014 го</w:t>
      </w:r>
      <w:r w:rsidR="00387D72">
        <w:t>да № </w:t>
      </w:r>
      <w:r>
        <w:t>01</w:t>
      </w:r>
      <w:r w:rsidR="00387D72">
        <w:noBreakHyphen/>
      </w:r>
      <w:r>
        <w:t>03</w:t>
      </w:r>
      <w:r w:rsidR="00387D72">
        <w:noBreakHyphen/>
      </w:r>
      <w:r>
        <w:t>01/36/1</w:t>
      </w:r>
      <w:r w:rsidRPr="007B5FE6">
        <w:t xml:space="preserve"> «Об утверждении Методики проведения мониторинга качества финансового менеджмента, осуществляемого главными распорядителями </w:t>
      </w:r>
      <w:r>
        <w:t>бюджетных средств Чеченской </w:t>
      </w:r>
      <w:r w:rsidRPr="007B5FE6">
        <w:t>Республики» проведен мониторинг</w:t>
      </w:r>
      <w:r>
        <w:t xml:space="preserve"> </w:t>
      </w:r>
      <w:r w:rsidRPr="007B5FE6">
        <w:t>качества финансового менеджмента, осуществляемого главными распорядителями средств бюджета</w:t>
      </w:r>
      <w:r>
        <w:t xml:space="preserve"> </w:t>
      </w:r>
      <w:r w:rsidRPr="00F44426">
        <w:t xml:space="preserve">Чеченской Республики </w:t>
      </w:r>
      <w:r>
        <w:t xml:space="preserve">за </w:t>
      </w:r>
      <w:r w:rsidR="008E3625">
        <w:t>2020</w:t>
      </w:r>
      <w:r>
        <w:t xml:space="preserve"> год (далее –мониторинг)</w:t>
      </w:r>
      <w:r w:rsidRPr="00F44426">
        <w:t>.</w:t>
      </w:r>
    </w:p>
    <w:p w:rsidR="00D87E74" w:rsidRDefault="00D87E74" w:rsidP="00D87E74">
      <w:pPr>
        <w:ind w:firstLine="709"/>
        <w:jc w:val="both"/>
      </w:pPr>
      <w:r>
        <w:t xml:space="preserve">Оценка проводилась как по количественным показателям, характеризующим качество исполнения </w:t>
      </w:r>
      <w:r w:rsidR="00D92342">
        <w:t>бюджетных</w:t>
      </w:r>
      <w:r>
        <w:t xml:space="preserve"> полномочий, так и по показателям, связанным с качеством правового регулирования исполнения отдельных процедур бюджетного процесса, в том числе в части повышени</w:t>
      </w:r>
      <w:r w:rsidR="00D92342">
        <w:t>я</w:t>
      </w:r>
      <w:r>
        <w:t xml:space="preserve"> эффективности бюджетных расходов.</w:t>
      </w:r>
    </w:p>
    <w:p w:rsidR="00D87E74" w:rsidRDefault="00D87E74" w:rsidP="00D87E74">
      <w:pPr>
        <w:ind w:firstLine="709"/>
        <w:jc w:val="both"/>
      </w:pPr>
      <w:r>
        <w:t>Расчет балл</w:t>
      </w:r>
      <w:r w:rsidR="00D92342">
        <w:t>ьных показателей и формирование</w:t>
      </w:r>
      <w:r>
        <w:t xml:space="preserve"> рейтинга качества финансового менеджмента осуществлялось посредством автоматизированной </w:t>
      </w:r>
      <w:r w:rsidR="00D92342">
        <w:t xml:space="preserve">информационной </w:t>
      </w:r>
      <w:r>
        <w:t xml:space="preserve">системы </w:t>
      </w:r>
      <w:r w:rsidR="00D92342">
        <w:t>(</w:t>
      </w:r>
      <w:r>
        <w:t>разработ</w:t>
      </w:r>
      <w:r w:rsidR="00D92342">
        <w:t>чик - корпорация</w:t>
      </w:r>
      <w:r>
        <w:t xml:space="preserve"> «Парус»</w:t>
      </w:r>
      <w:r w:rsidR="00D92342">
        <w:t>)</w:t>
      </w:r>
      <w:r>
        <w:t>. Данная с</w:t>
      </w:r>
      <w:r w:rsidR="00D92342">
        <w:t xml:space="preserve">истема обеспечивает автоматический </w:t>
      </w:r>
      <w:r>
        <w:t>расчет баллов и общего рейтинга по Методике</w:t>
      </w:r>
      <w:r w:rsidR="00D92342">
        <w:t>,</w:t>
      </w:r>
      <w:r>
        <w:t xml:space="preserve"> утвержденной в соответствии с вышеуказанным приказом Министерства финансов Чеченской Республики</w:t>
      </w:r>
      <w:r w:rsidR="00D92342">
        <w:t xml:space="preserve">, и формирование предусмотренной отчетности по качеству финансового менеджмента, осуществляемого </w:t>
      </w:r>
      <w:r w:rsidR="00D92342" w:rsidRPr="007B5FE6">
        <w:t>главными распорядителями средств бюджета</w:t>
      </w:r>
      <w:r w:rsidR="00D92342">
        <w:t xml:space="preserve"> </w:t>
      </w:r>
      <w:r w:rsidR="00D92342" w:rsidRPr="00F44426">
        <w:t>Чеченской Республики</w:t>
      </w:r>
      <w:r>
        <w:t>.</w:t>
      </w:r>
    </w:p>
    <w:p w:rsidR="00387D72" w:rsidRDefault="00387D72" w:rsidP="00387D72">
      <w:pPr>
        <w:ind w:firstLine="709"/>
        <w:jc w:val="both"/>
      </w:pPr>
      <w:r>
        <w:t>Результаты ежеквартального мониторинга качества финансового менеджмента (</w:t>
      </w:r>
      <w:r w:rsidRPr="00867319">
        <w:t>среднее</w:t>
      </w:r>
      <w:r>
        <w:t xml:space="preserve"> </w:t>
      </w:r>
      <w:r w:rsidRPr="00867319">
        <w:t>значение итоговой оценки</w:t>
      </w:r>
      <w:r>
        <w:t>)</w:t>
      </w:r>
      <w:r w:rsidR="001469A4">
        <w:t xml:space="preserve"> за </w:t>
      </w:r>
      <w:r w:rsidR="008E3625">
        <w:t>2020</w:t>
      </w:r>
      <w:r w:rsidR="001469A4">
        <w:t xml:space="preserve"> год выгляд</w:t>
      </w:r>
      <w:r w:rsidR="00A045BE">
        <w:t>я</w:t>
      </w:r>
      <w:r w:rsidR="001469A4">
        <w:t>т следующим образом</w:t>
      </w:r>
      <w:r>
        <w:t>:</w:t>
      </w:r>
    </w:p>
    <w:p w:rsidR="00387D72" w:rsidRDefault="00387D72" w:rsidP="00387D72">
      <w:pPr>
        <w:ind w:firstLine="709"/>
        <w:jc w:val="both"/>
      </w:pPr>
      <w:r>
        <w:rPr>
          <w:lang w:val="en-US"/>
        </w:rPr>
        <w:t>I</w:t>
      </w:r>
      <w:r w:rsidRPr="00322712">
        <w:t xml:space="preserve"> </w:t>
      </w:r>
      <w:r>
        <w:t xml:space="preserve">квартал </w:t>
      </w:r>
      <w:r w:rsidR="008E3625">
        <w:t>2020</w:t>
      </w:r>
      <w:r>
        <w:t xml:space="preserve"> года – 3,</w:t>
      </w:r>
      <w:r w:rsidR="008E3625">
        <w:t>616</w:t>
      </w:r>
      <w:r>
        <w:t xml:space="preserve"> балла;</w:t>
      </w:r>
    </w:p>
    <w:p w:rsidR="00387D72" w:rsidRDefault="00387D72" w:rsidP="00387D72">
      <w:pPr>
        <w:ind w:firstLine="709"/>
        <w:jc w:val="both"/>
      </w:pPr>
      <w:r>
        <w:rPr>
          <w:lang w:val="en-US"/>
        </w:rPr>
        <w:t>II</w:t>
      </w:r>
      <w:r w:rsidRPr="000F5274">
        <w:t xml:space="preserve"> </w:t>
      </w:r>
      <w:r>
        <w:t xml:space="preserve">квартал </w:t>
      </w:r>
      <w:r w:rsidR="008E3625">
        <w:t>2020</w:t>
      </w:r>
      <w:r>
        <w:t xml:space="preserve"> года – 3,</w:t>
      </w:r>
      <w:r w:rsidR="008E3625">
        <w:t>673</w:t>
      </w:r>
      <w:r>
        <w:t xml:space="preserve"> балла;</w:t>
      </w:r>
    </w:p>
    <w:p w:rsidR="008E3625" w:rsidRDefault="00387D72" w:rsidP="008E3625">
      <w:pPr>
        <w:ind w:firstLine="709"/>
        <w:jc w:val="both"/>
      </w:pPr>
      <w:r>
        <w:rPr>
          <w:lang w:val="en-US"/>
        </w:rPr>
        <w:t>III</w:t>
      </w:r>
      <w:r w:rsidRPr="000F5274">
        <w:t xml:space="preserve"> </w:t>
      </w:r>
      <w:r>
        <w:t xml:space="preserve">квартал </w:t>
      </w:r>
      <w:r w:rsidR="008E3625">
        <w:t>2020</w:t>
      </w:r>
      <w:r>
        <w:t xml:space="preserve"> года – 3,</w:t>
      </w:r>
      <w:r w:rsidR="008E3625">
        <w:t>609 балла.</w:t>
      </w:r>
    </w:p>
    <w:p w:rsidR="00D87E74" w:rsidRDefault="00D87E74" w:rsidP="00D87E74">
      <w:pPr>
        <w:ind w:firstLine="709"/>
        <w:jc w:val="both"/>
      </w:pPr>
      <w:r w:rsidRPr="002D591C">
        <w:t xml:space="preserve">По результатам мониторинга были определены значения показателей и оценок качества финансового менеджмента </w:t>
      </w:r>
      <w:r>
        <w:t xml:space="preserve">и сформирован рейтинг главных распорядителей средств бюджета </w:t>
      </w:r>
      <w:r w:rsidRPr="00F44426">
        <w:t xml:space="preserve">Чеченской Республики </w:t>
      </w:r>
      <w:r>
        <w:t xml:space="preserve">за </w:t>
      </w:r>
      <w:r w:rsidR="008E3625">
        <w:t>2020</w:t>
      </w:r>
      <w:r>
        <w:t xml:space="preserve"> год.</w:t>
      </w:r>
    </w:p>
    <w:p w:rsidR="00D87E74" w:rsidRPr="00867319" w:rsidRDefault="00D87E74" w:rsidP="00D87E74">
      <w:pPr>
        <w:widowControl w:val="0"/>
        <w:autoSpaceDE w:val="0"/>
        <w:autoSpaceDN w:val="0"/>
        <w:ind w:firstLine="709"/>
        <w:jc w:val="both"/>
      </w:pPr>
      <w:r w:rsidRPr="00867319">
        <w:t>Среднее</w:t>
      </w:r>
      <w:r>
        <w:t xml:space="preserve"> </w:t>
      </w:r>
      <w:r w:rsidRPr="00867319">
        <w:t xml:space="preserve">значение итоговой оценки качества финансового менеджмента по всем </w:t>
      </w:r>
      <w:r>
        <w:t xml:space="preserve">главным распорядителям средств бюджета </w:t>
      </w:r>
      <w:r w:rsidRPr="00F44426">
        <w:t>Чеченской Республики</w:t>
      </w:r>
      <w:r w:rsidRPr="00867319">
        <w:t xml:space="preserve"> за </w:t>
      </w:r>
      <w:r w:rsidR="008E3625">
        <w:t>2020</w:t>
      </w:r>
      <w:r w:rsidR="009D5C4E">
        <w:t> </w:t>
      </w:r>
      <w:r>
        <w:t xml:space="preserve">год </w:t>
      </w:r>
      <w:r w:rsidRPr="00867319">
        <w:t xml:space="preserve">составило </w:t>
      </w:r>
      <w:r>
        <w:t>3,</w:t>
      </w:r>
      <w:r w:rsidR="008E3625">
        <w:t>544</w:t>
      </w:r>
      <w:r>
        <w:t xml:space="preserve"> </w:t>
      </w:r>
      <w:r w:rsidRPr="00867319">
        <w:t>балла.</w:t>
      </w:r>
    </w:p>
    <w:p w:rsidR="00D87E74" w:rsidRDefault="00D87E74" w:rsidP="00D87E74">
      <w:pPr>
        <w:widowControl w:val="0"/>
        <w:autoSpaceDE w:val="0"/>
        <w:autoSpaceDN w:val="0"/>
        <w:ind w:firstLine="709"/>
        <w:jc w:val="both"/>
      </w:pPr>
      <w:r w:rsidRPr="00867319">
        <w:lastRenderedPageBreak/>
        <w:t xml:space="preserve">Средние значения по отдельным направлениям оценки качества финансового менеджмента по всем </w:t>
      </w:r>
      <w:r>
        <w:t xml:space="preserve">главным распорядителям средств бюджета </w:t>
      </w:r>
      <w:r w:rsidRPr="00F44426">
        <w:t>Чеченской Республики</w:t>
      </w:r>
      <w:r w:rsidRPr="00867319">
        <w:t xml:space="preserve"> за </w:t>
      </w:r>
      <w:r w:rsidR="008E3625">
        <w:t>2020</w:t>
      </w:r>
      <w:r>
        <w:t xml:space="preserve"> </w:t>
      </w:r>
      <w:r w:rsidRPr="00867319">
        <w:t>год составили:</w:t>
      </w:r>
    </w:p>
    <w:p w:rsidR="00D87E74" w:rsidRPr="00F44426" w:rsidRDefault="00D87E74" w:rsidP="00D87E74">
      <w:pPr>
        <w:pStyle w:val="aa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44426">
        <w:rPr>
          <w:rFonts w:ascii="Times New Roman" w:hAnsi="Times New Roman" w:cs="Times New Roman"/>
          <w:sz w:val="28"/>
          <w:szCs w:val="28"/>
        </w:rPr>
        <w:t>реднесрочное финансовое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– 0,</w:t>
      </w:r>
      <w:r w:rsidR="008E3625">
        <w:rPr>
          <w:rFonts w:ascii="Times New Roman" w:hAnsi="Times New Roman" w:cs="Times New Roman"/>
          <w:sz w:val="28"/>
          <w:szCs w:val="28"/>
        </w:rPr>
        <w:t>787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D87E74" w:rsidRPr="00F44426" w:rsidRDefault="00D87E74" w:rsidP="00D87E74">
      <w:pPr>
        <w:pStyle w:val="aa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44426">
        <w:rPr>
          <w:rFonts w:ascii="Times New Roman" w:hAnsi="Times New Roman" w:cs="Times New Roman"/>
          <w:sz w:val="28"/>
          <w:szCs w:val="28"/>
        </w:rPr>
        <w:t>сполнение бюджета в части расходов</w:t>
      </w:r>
      <w:r>
        <w:rPr>
          <w:rFonts w:ascii="Times New Roman" w:hAnsi="Times New Roman" w:cs="Times New Roman"/>
          <w:sz w:val="28"/>
          <w:szCs w:val="28"/>
        </w:rPr>
        <w:t xml:space="preserve"> – 0,7</w:t>
      </w:r>
      <w:r w:rsidR="008E3625">
        <w:rPr>
          <w:rFonts w:ascii="Times New Roman" w:hAnsi="Times New Roman" w:cs="Times New Roman"/>
          <w:sz w:val="28"/>
          <w:szCs w:val="28"/>
        </w:rPr>
        <w:t>30</w:t>
      </w:r>
      <w:r w:rsidRPr="00EE0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балла;</w:t>
      </w:r>
    </w:p>
    <w:p w:rsidR="00D87E74" w:rsidRPr="00F44426" w:rsidRDefault="00D87E74" w:rsidP="00D87E74">
      <w:pPr>
        <w:pStyle w:val="aa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44426">
        <w:rPr>
          <w:rFonts w:ascii="Times New Roman" w:hAnsi="Times New Roman" w:cs="Times New Roman"/>
          <w:sz w:val="28"/>
          <w:szCs w:val="28"/>
        </w:rPr>
        <w:t>чет и отчетность</w:t>
      </w:r>
      <w:r>
        <w:rPr>
          <w:rFonts w:ascii="Times New Roman" w:hAnsi="Times New Roman" w:cs="Times New Roman"/>
          <w:sz w:val="28"/>
          <w:szCs w:val="28"/>
        </w:rPr>
        <w:t xml:space="preserve"> – 0,5</w:t>
      </w:r>
      <w:r w:rsidR="009D5C4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D87E74" w:rsidRPr="00F44426" w:rsidRDefault="00D87E74" w:rsidP="00D87E74">
      <w:pPr>
        <w:pStyle w:val="aa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44426">
        <w:rPr>
          <w:rFonts w:ascii="Times New Roman" w:hAnsi="Times New Roman" w:cs="Times New Roman"/>
          <w:sz w:val="28"/>
          <w:szCs w:val="28"/>
        </w:rPr>
        <w:t>онтроль и аудит</w:t>
      </w:r>
      <w:r>
        <w:rPr>
          <w:rFonts w:ascii="Times New Roman" w:hAnsi="Times New Roman" w:cs="Times New Roman"/>
          <w:sz w:val="28"/>
          <w:szCs w:val="28"/>
        </w:rPr>
        <w:t xml:space="preserve"> – 0,5</w:t>
      </w:r>
      <w:r w:rsidR="008E3625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балла;</w:t>
      </w:r>
    </w:p>
    <w:p w:rsidR="00D87E74" w:rsidRDefault="00D87E74" w:rsidP="00D87E74">
      <w:pPr>
        <w:pStyle w:val="aa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44426">
        <w:rPr>
          <w:rFonts w:ascii="Times New Roman" w:hAnsi="Times New Roman" w:cs="Times New Roman"/>
          <w:sz w:val="28"/>
          <w:szCs w:val="28"/>
        </w:rPr>
        <w:t>сполнение судебных актов</w:t>
      </w:r>
      <w:r>
        <w:rPr>
          <w:rFonts w:ascii="Times New Roman" w:hAnsi="Times New Roman" w:cs="Times New Roman"/>
          <w:sz w:val="28"/>
          <w:szCs w:val="28"/>
        </w:rPr>
        <w:t xml:space="preserve"> – 0,</w:t>
      </w:r>
      <w:r w:rsidR="008E3625">
        <w:rPr>
          <w:rFonts w:ascii="Times New Roman" w:hAnsi="Times New Roman" w:cs="Times New Roman"/>
          <w:sz w:val="28"/>
          <w:szCs w:val="28"/>
        </w:rPr>
        <w:t>486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балла;</w:t>
      </w:r>
    </w:p>
    <w:p w:rsidR="00D87E74" w:rsidRPr="00EE046B" w:rsidRDefault="00D87E74" w:rsidP="00D87E74">
      <w:pPr>
        <w:pStyle w:val="aa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6873">
        <w:rPr>
          <w:rFonts w:ascii="Times New Roman" w:hAnsi="Times New Roman" w:cs="Times New Roman"/>
          <w:sz w:val="28"/>
          <w:szCs w:val="28"/>
        </w:rPr>
        <w:t>повышение эффективности предоставления государственных услуг и оптимизация подведомственной сети бюджетных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– 0,</w:t>
      </w:r>
      <w:r w:rsidR="008E3625">
        <w:rPr>
          <w:rFonts w:ascii="Times New Roman" w:hAnsi="Times New Roman" w:cs="Times New Roman"/>
          <w:sz w:val="28"/>
          <w:szCs w:val="28"/>
        </w:rPr>
        <w:t>158</w:t>
      </w:r>
      <w:r>
        <w:rPr>
          <w:rFonts w:ascii="Times New Roman" w:hAnsi="Times New Roman" w:cs="Times New Roman"/>
          <w:sz w:val="28"/>
          <w:szCs w:val="28"/>
        </w:rPr>
        <w:t> балла;</w:t>
      </w:r>
    </w:p>
    <w:p w:rsidR="00D87E74" w:rsidRPr="00A045BE" w:rsidRDefault="00D87E74" w:rsidP="00195E98">
      <w:pPr>
        <w:pStyle w:val="aa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873">
        <w:rPr>
          <w:rFonts w:ascii="Times New Roman" w:hAnsi="Times New Roman" w:cs="Times New Roman"/>
          <w:sz w:val="28"/>
          <w:szCs w:val="28"/>
        </w:rPr>
        <w:t>кадровый потенциал финансового (финансово-экономического) подразделения главн</w:t>
      </w:r>
      <w:r w:rsidR="00D92342">
        <w:rPr>
          <w:rFonts w:ascii="Times New Roman" w:hAnsi="Times New Roman" w:cs="Times New Roman"/>
          <w:sz w:val="28"/>
          <w:szCs w:val="28"/>
        </w:rPr>
        <w:t>ого</w:t>
      </w:r>
      <w:r w:rsidRPr="008B687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D92342">
        <w:rPr>
          <w:rFonts w:ascii="Times New Roman" w:hAnsi="Times New Roman" w:cs="Times New Roman"/>
          <w:sz w:val="28"/>
          <w:szCs w:val="28"/>
        </w:rPr>
        <w:t>я</w:t>
      </w:r>
      <w:r w:rsidRPr="008B6873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D92342">
        <w:rPr>
          <w:rFonts w:ascii="Times New Roman" w:hAnsi="Times New Roman" w:cs="Times New Roman"/>
          <w:sz w:val="28"/>
          <w:szCs w:val="28"/>
        </w:rPr>
        <w:t>Чеченской Республики </w:t>
      </w:r>
      <w:r w:rsidRPr="00A045BE">
        <w:rPr>
          <w:rFonts w:ascii="Times New Roman" w:hAnsi="Times New Roman" w:cs="Times New Roman"/>
          <w:sz w:val="28"/>
          <w:szCs w:val="28"/>
        </w:rPr>
        <w:t>– 0,</w:t>
      </w:r>
      <w:r w:rsidR="00DC705A" w:rsidRPr="00A045BE">
        <w:rPr>
          <w:rFonts w:ascii="Times New Roman" w:hAnsi="Times New Roman" w:cs="Times New Roman"/>
          <w:sz w:val="28"/>
          <w:szCs w:val="28"/>
        </w:rPr>
        <w:t>31</w:t>
      </w:r>
      <w:r w:rsidR="008E3625">
        <w:rPr>
          <w:rFonts w:ascii="Times New Roman" w:hAnsi="Times New Roman" w:cs="Times New Roman"/>
          <w:sz w:val="28"/>
          <w:szCs w:val="28"/>
        </w:rPr>
        <w:t>0</w:t>
      </w:r>
      <w:r w:rsidRPr="00A045BE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D87E74" w:rsidRPr="00EC2593" w:rsidRDefault="00D87E74" w:rsidP="00D87E74">
      <w:pPr>
        <w:ind w:firstLine="709"/>
        <w:jc w:val="both"/>
      </w:pPr>
      <w:r w:rsidRPr="00EC2593">
        <w:t xml:space="preserve">В соответствии с рейтингом главных </w:t>
      </w:r>
      <w:r>
        <w:t xml:space="preserve">распорядителей </w:t>
      </w:r>
      <w:r w:rsidRPr="00EC2593">
        <w:t>средств бюджета Чеченской Республики наилучшие оценки получили следующие органы исполнительной власти:</w:t>
      </w:r>
    </w:p>
    <w:p w:rsidR="00D87E74" w:rsidRPr="00EC2593" w:rsidRDefault="00D87E74" w:rsidP="00D87E74">
      <w:pPr>
        <w:pStyle w:val="aa"/>
        <w:numPr>
          <w:ilvl w:val="0"/>
          <w:numId w:val="4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0D8F">
        <w:rPr>
          <w:rFonts w:ascii="Times New Roman" w:hAnsi="Times New Roman" w:cs="Times New Roman"/>
          <w:sz w:val="28"/>
          <w:szCs w:val="28"/>
        </w:rPr>
        <w:t>Администрация Главы и Правительства Чеченской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– 4,</w:t>
      </w:r>
      <w:r w:rsidR="00195E98">
        <w:rPr>
          <w:rFonts w:ascii="Times New Roman" w:hAnsi="Times New Roman" w:cs="Times New Roman"/>
          <w:sz w:val="28"/>
          <w:szCs w:val="28"/>
        </w:rPr>
        <w:t>412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593">
        <w:rPr>
          <w:rFonts w:ascii="Times New Roman" w:hAnsi="Times New Roman" w:cs="Times New Roman"/>
          <w:sz w:val="28"/>
          <w:szCs w:val="28"/>
        </w:rPr>
        <w:t>балла;</w:t>
      </w:r>
    </w:p>
    <w:p w:rsidR="00D87E74" w:rsidRPr="00EC2593" w:rsidRDefault="00D87E74" w:rsidP="00D87E74">
      <w:pPr>
        <w:pStyle w:val="aa"/>
        <w:numPr>
          <w:ilvl w:val="0"/>
          <w:numId w:val="4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0D8F">
        <w:rPr>
          <w:rFonts w:ascii="Times New Roman" w:hAnsi="Times New Roman" w:cs="Times New Roman"/>
          <w:sz w:val="28"/>
          <w:szCs w:val="28"/>
        </w:rPr>
        <w:t xml:space="preserve">Министерство финансов Чеченской Республики </w:t>
      </w:r>
      <w:r>
        <w:rPr>
          <w:rFonts w:ascii="Times New Roman" w:hAnsi="Times New Roman" w:cs="Times New Roman"/>
          <w:sz w:val="28"/>
          <w:szCs w:val="28"/>
        </w:rPr>
        <w:t>– 4,</w:t>
      </w:r>
      <w:r w:rsidR="00195E98">
        <w:rPr>
          <w:rFonts w:ascii="Times New Roman" w:hAnsi="Times New Roman" w:cs="Times New Roman"/>
          <w:sz w:val="28"/>
          <w:szCs w:val="28"/>
        </w:rPr>
        <w:t>347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D87E74" w:rsidRDefault="002608B3" w:rsidP="00195E98">
      <w:pPr>
        <w:pStyle w:val="aa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5E98">
        <w:rPr>
          <w:rFonts w:ascii="Times New Roman" w:hAnsi="Times New Roman" w:cs="Times New Roman"/>
          <w:sz w:val="28"/>
          <w:szCs w:val="28"/>
        </w:rPr>
        <w:t>Министерство образования и науки Чеченской Республики</w:t>
      </w:r>
      <w:r w:rsidRPr="00DF0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4,224 </w:t>
      </w:r>
      <w:r w:rsidRPr="00EC2593">
        <w:rPr>
          <w:rFonts w:ascii="Times New Roman" w:hAnsi="Times New Roman" w:cs="Times New Roman"/>
          <w:sz w:val="28"/>
          <w:szCs w:val="28"/>
        </w:rPr>
        <w:t>балла</w:t>
      </w:r>
      <w:r w:rsidRPr="00D92342">
        <w:rPr>
          <w:rFonts w:ascii="Times New Roman" w:hAnsi="Times New Roman" w:cs="Times New Roman"/>
          <w:sz w:val="28"/>
          <w:szCs w:val="28"/>
        </w:rPr>
        <w:t>;</w:t>
      </w:r>
    </w:p>
    <w:p w:rsidR="005C61E8" w:rsidRPr="00EC2593" w:rsidRDefault="002608B3" w:rsidP="002608B3">
      <w:pPr>
        <w:pStyle w:val="aa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8B3">
        <w:rPr>
          <w:rFonts w:ascii="Times New Roman" w:hAnsi="Times New Roman" w:cs="Times New Roman"/>
          <w:sz w:val="28"/>
          <w:szCs w:val="28"/>
        </w:rPr>
        <w:t>Служба обеспечения деятельности мировых судей Чеченской Республики</w:t>
      </w:r>
      <w:r w:rsidR="005C61E8" w:rsidRPr="00DF0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4,133</w:t>
      </w:r>
      <w:r w:rsidR="005C61E8">
        <w:rPr>
          <w:rFonts w:ascii="Times New Roman" w:hAnsi="Times New Roman" w:cs="Times New Roman"/>
          <w:sz w:val="28"/>
          <w:szCs w:val="28"/>
        </w:rPr>
        <w:t xml:space="preserve"> </w:t>
      </w:r>
      <w:r w:rsidR="005C61E8" w:rsidRPr="00EC2593">
        <w:rPr>
          <w:rFonts w:ascii="Times New Roman" w:hAnsi="Times New Roman" w:cs="Times New Roman"/>
          <w:sz w:val="28"/>
          <w:szCs w:val="28"/>
        </w:rPr>
        <w:t>балла</w:t>
      </w:r>
      <w:r w:rsidR="00D92342" w:rsidRPr="00D92342">
        <w:rPr>
          <w:rFonts w:ascii="Times New Roman" w:hAnsi="Times New Roman" w:cs="Times New Roman"/>
          <w:sz w:val="28"/>
          <w:szCs w:val="28"/>
        </w:rPr>
        <w:t>;</w:t>
      </w:r>
    </w:p>
    <w:p w:rsidR="00D87E74" w:rsidRDefault="002608B3" w:rsidP="002608B3">
      <w:pPr>
        <w:pStyle w:val="aa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8B3">
        <w:rPr>
          <w:rFonts w:ascii="Times New Roman" w:hAnsi="Times New Roman" w:cs="Times New Roman"/>
          <w:sz w:val="28"/>
          <w:szCs w:val="28"/>
        </w:rPr>
        <w:t>Аппарат Парламента Чеченской Республики</w:t>
      </w:r>
      <w:r w:rsidR="005C61E8">
        <w:rPr>
          <w:rFonts w:ascii="Times New Roman" w:hAnsi="Times New Roman" w:cs="Times New Roman"/>
          <w:sz w:val="28"/>
          <w:szCs w:val="28"/>
        </w:rPr>
        <w:t>– 4,</w:t>
      </w:r>
      <w:r>
        <w:rPr>
          <w:rFonts w:ascii="Times New Roman" w:hAnsi="Times New Roman" w:cs="Times New Roman"/>
          <w:sz w:val="28"/>
          <w:szCs w:val="28"/>
        </w:rPr>
        <w:t>019</w:t>
      </w:r>
      <w:r w:rsidR="005C61E8">
        <w:rPr>
          <w:rFonts w:ascii="Times New Roman" w:hAnsi="Times New Roman" w:cs="Times New Roman"/>
          <w:sz w:val="28"/>
          <w:szCs w:val="28"/>
        </w:rPr>
        <w:t>.</w:t>
      </w:r>
    </w:p>
    <w:p w:rsidR="002608B3" w:rsidRPr="00EE046B" w:rsidRDefault="002608B3" w:rsidP="002608B3">
      <w:pPr>
        <w:pStyle w:val="aa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87E74" w:rsidRPr="00B02613" w:rsidRDefault="00D87E74" w:rsidP="00D87E74">
      <w:pPr>
        <w:ind w:firstLine="709"/>
        <w:jc w:val="both"/>
      </w:pPr>
      <w:r w:rsidRPr="00B02613">
        <w:t>Наихудшие</w:t>
      </w:r>
      <w:r>
        <w:t xml:space="preserve"> </w:t>
      </w:r>
      <w:r w:rsidRPr="00B02613">
        <w:t>оценки</w:t>
      </w:r>
      <w:r>
        <w:t xml:space="preserve"> </w:t>
      </w:r>
      <w:r w:rsidRPr="00B02613">
        <w:t>получили следующие органы исполнительной власти:</w:t>
      </w:r>
    </w:p>
    <w:p w:rsidR="00D87E74" w:rsidRPr="00B02613" w:rsidRDefault="002608B3" w:rsidP="002608B3">
      <w:pPr>
        <w:pStyle w:val="aa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8B3">
        <w:rPr>
          <w:rFonts w:ascii="Times New Roman" w:hAnsi="Times New Roman" w:cs="Times New Roman"/>
          <w:sz w:val="28"/>
          <w:szCs w:val="28"/>
        </w:rPr>
        <w:t>Конституционный Суд Чеченской Республики</w:t>
      </w:r>
      <w:r w:rsidR="009D5C4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5C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996</w:t>
      </w:r>
      <w:r w:rsidR="00D87E74" w:rsidRPr="00B02613">
        <w:rPr>
          <w:rFonts w:ascii="Times New Roman" w:hAnsi="Times New Roman" w:cs="Times New Roman"/>
          <w:sz w:val="28"/>
          <w:szCs w:val="28"/>
        </w:rPr>
        <w:t>;</w:t>
      </w:r>
    </w:p>
    <w:p w:rsidR="00D87E74" w:rsidRDefault="002608B3" w:rsidP="002608B3">
      <w:pPr>
        <w:pStyle w:val="aa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8B3">
        <w:rPr>
          <w:rFonts w:ascii="Times New Roman" w:hAnsi="Times New Roman" w:cs="Times New Roman"/>
          <w:sz w:val="28"/>
          <w:szCs w:val="28"/>
        </w:rPr>
        <w:t>Министерство Чеченской Республики по делам молодежи</w:t>
      </w:r>
      <w:r w:rsidR="009D5C4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5C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912</w:t>
      </w:r>
      <w:r w:rsidR="00D87E74" w:rsidRPr="00B02613">
        <w:rPr>
          <w:rFonts w:ascii="Times New Roman" w:hAnsi="Times New Roman" w:cs="Times New Roman"/>
          <w:sz w:val="28"/>
          <w:szCs w:val="28"/>
        </w:rPr>
        <w:t>;</w:t>
      </w:r>
    </w:p>
    <w:p w:rsidR="009D5C4E" w:rsidRDefault="002608B3" w:rsidP="002608B3">
      <w:pPr>
        <w:pStyle w:val="aa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8B3">
        <w:rPr>
          <w:rFonts w:ascii="Times New Roman" w:hAnsi="Times New Roman" w:cs="Times New Roman"/>
          <w:sz w:val="28"/>
          <w:szCs w:val="28"/>
        </w:rPr>
        <w:t>Государственный комитет по архитектуре и градостроительству Чеченской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9D5C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291</w:t>
      </w:r>
      <w:r w:rsidR="009D5C4E">
        <w:rPr>
          <w:rFonts w:ascii="Times New Roman" w:hAnsi="Times New Roman" w:cs="Times New Roman"/>
          <w:sz w:val="28"/>
          <w:szCs w:val="28"/>
        </w:rPr>
        <w:t> балла</w:t>
      </w:r>
      <w:r w:rsidR="00D92342" w:rsidRPr="00D92342">
        <w:rPr>
          <w:rFonts w:ascii="Times New Roman" w:hAnsi="Times New Roman" w:cs="Times New Roman"/>
          <w:sz w:val="28"/>
          <w:szCs w:val="28"/>
        </w:rPr>
        <w:t>;</w:t>
      </w:r>
    </w:p>
    <w:p w:rsidR="009D5C4E" w:rsidRPr="00B02613" w:rsidRDefault="002608B3" w:rsidP="002608B3">
      <w:pPr>
        <w:pStyle w:val="aa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8B3">
        <w:rPr>
          <w:rFonts w:ascii="Times New Roman" w:hAnsi="Times New Roman" w:cs="Times New Roman"/>
          <w:sz w:val="28"/>
          <w:szCs w:val="28"/>
        </w:rPr>
        <w:t>Управление делами Главы и Правительства Чеченской Республики</w:t>
      </w:r>
      <w:r w:rsidR="009D5C4E" w:rsidRPr="00DF0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</w:t>
      </w:r>
      <w:r w:rsidR="009D5C4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32</w:t>
      </w:r>
      <w:r w:rsidR="009D5C4E">
        <w:rPr>
          <w:rFonts w:ascii="Times New Roman" w:hAnsi="Times New Roman" w:cs="Times New Roman"/>
          <w:sz w:val="28"/>
          <w:szCs w:val="28"/>
        </w:rPr>
        <w:t> балла</w:t>
      </w:r>
      <w:r w:rsidR="00D92342" w:rsidRPr="00D92342">
        <w:rPr>
          <w:rFonts w:ascii="Times New Roman" w:hAnsi="Times New Roman" w:cs="Times New Roman"/>
          <w:sz w:val="28"/>
          <w:szCs w:val="28"/>
        </w:rPr>
        <w:t>;</w:t>
      </w:r>
    </w:p>
    <w:p w:rsidR="00D87E74" w:rsidRPr="00B02613" w:rsidRDefault="002608B3" w:rsidP="002608B3">
      <w:pPr>
        <w:pStyle w:val="aa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8B3">
        <w:rPr>
          <w:rFonts w:ascii="Times New Roman" w:hAnsi="Times New Roman" w:cs="Times New Roman"/>
          <w:sz w:val="28"/>
          <w:szCs w:val="28"/>
        </w:rPr>
        <w:t>Комитет Правительства Чеченской Республики по государственному заказу</w:t>
      </w:r>
      <w:r w:rsidR="00D87E74" w:rsidRPr="00DF0D8F">
        <w:rPr>
          <w:rFonts w:ascii="Times New Roman" w:hAnsi="Times New Roman" w:cs="Times New Roman"/>
          <w:sz w:val="28"/>
          <w:szCs w:val="28"/>
        </w:rPr>
        <w:t xml:space="preserve"> </w:t>
      </w:r>
      <w:r w:rsidR="00D87E7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D5C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783</w:t>
      </w:r>
      <w:r w:rsidR="00D87E74">
        <w:rPr>
          <w:rFonts w:ascii="Times New Roman" w:hAnsi="Times New Roman" w:cs="Times New Roman"/>
          <w:sz w:val="28"/>
          <w:szCs w:val="28"/>
        </w:rPr>
        <w:t xml:space="preserve"> </w:t>
      </w:r>
      <w:r w:rsidR="009D5C4E">
        <w:rPr>
          <w:rFonts w:ascii="Times New Roman" w:hAnsi="Times New Roman" w:cs="Times New Roman"/>
          <w:sz w:val="28"/>
          <w:szCs w:val="28"/>
        </w:rPr>
        <w:t>балла.</w:t>
      </w:r>
    </w:p>
    <w:p w:rsidR="00387D72" w:rsidRDefault="00387D72" w:rsidP="00387D72">
      <w:pPr>
        <w:pStyle w:val="aa"/>
        <w:spacing w:after="0" w:line="240" w:lineRule="auto"/>
        <w:ind w:left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608B3" w:rsidRDefault="002608B3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608B3" w:rsidRDefault="002608B3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608B3" w:rsidRPr="00B7081A" w:rsidRDefault="002608B3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360" w:type="dxa"/>
        <w:tblInd w:w="-284" w:type="dxa"/>
        <w:tblLook w:val="04A0" w:firstRow="1" w:lastRow="0" w:firstColumn="1" w:lastColumn="0" w:noHBand="0" w:noVBand="1"/>
      </w:tblPr>
      <w:tblGrid>
        <w:gridCol w:w="760"/>
        <w:gridCol w:w="8500"/>
        <w:gridCol w:w="1100"/>
      </w:tblGrid>
      <w:tr w:rsidR="00B7081A" w:rsidRPr="00B7081A" w:rsidTr="00B7081A">
        <w:trPr>
          <w:trHeight w:val="810"/>
        </w:trPr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</w:rPr>
            </w:pPr>
            <w:r w:rsidRPr="00B7081A">
              <w:rPr>
                <w:b/>
                <w:bCs/>
                <w:color w:val="000000"/>
              </w:rPr>
              <w:lastRenderedPageBreak/>
              <w:t xml:space="preserve">Рейтинг главных распорядителей средств бюджета </w:t>
            </w:r>
          </w:p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</w:rPr>
            </w:pPr>
            <w:r w:rsidRPr="00B7081A">
              <w:rPr>
                <w:b/>
                <w:bCs/>
                <w:color w:val="000000"/>
              </w:rPr>
              <w:t xml:space="preserve">Чеченской Республики по результатам оценки качества финансового менеджмента за </w:t>
            </w:r>
            <w:r w:rsidR="008E3625">
              <w:rPr>
                <w:b/>
                <w:bCs/>
                <w:color w:val="000000"/>
              </w:rPr>
              <w:t>2020</w:t>
            </w:r>
            <w:r w:rsidRPr="00B7081A">
              <w:rPr>
                <w:b/>
                <w:bCs/>
                <w:color w:val="000000"/>
              </w:rPr>
              <w:t xml:space="preserve"> год</w:t>
            </w:r>
          </w:p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7081A" w:rsidRPr="00B7081A" w:rsidTr="00B7081A">
        <w:trPr>
          <w:trHeight w:val="375"/>
        </w:trPr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bCs/>
                <w:color w:val="000000"/>
              </w:rPr>
            </w:pPr>
            <w:r w:rsidRPr="00B7081A">
              <w:rPr>
                <w:bCs/>
                <w:color w:val="000000"/>
              </w:rPr>
              <w:t>Итоговая балльная оценка главных распорядителей средств бюджета Чеченской Республики по всем группам показателей:</w:t>
            </w:r>
          </w:p>
        </w:tc>
      </w:tr>
      <w:tr w:rsidR="00B7081A" w:rsidRPr="00B7081A" w:rsidTr="00B7081A">
        <w:trPr>
          <w:trHeight w:val="48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1A" w:rsidRPr="00B7081A" w:rsidRDefault="00B7081A" w:rsidP="00B708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081A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RANGE!C4"/>
            <w:r w:rsidRPr="00B7081A">
              <w:rPr>
                <w:b/>
                <w:bCs/>
                <w:color w:val="000000"/>
                <w:sz w:val="24"/>
                <w:szCs w:val="24"/>
              </w:rPr>
              <w:t>3,</w:t>
            </w:r>
            <w:bookmarkEnd w:id="0"/>
            <w:r w:rsidR="002608B3">
              <w:rPr>
                <w:b/>
                <w:bCs/>
                <w:color w:val="000000"/>
                <w:sz w:val="24"/>
                <w:szCs w:val="24"/>
              </w:rPr>
              <w:t>544</w:t>
            </w:r>
          </w:p>
        </w:tc>
      </w:tr>
      <w:tr w:rsidR="00B7081A" w:rsidRPr="00B7081A" w:rsidTr="00B7081A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rPr>
                <w:sz w:val="20"/>
                <w:szCs w:val="20"/>
              </w:rPr>
            </w:pPr>
          </w:p>
        </w:tc>
      </w:tr>
      <w:tr w:rsidR="00B7081A" w:rsidRPr="00B7081A" w:rsidTr="00B7081A">
        <w:trPr>
          <w:trHeight w:val="52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81A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81A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81A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4,412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4,347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4,224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4,133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4,019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промышленности и энергетики 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3,980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3,967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3,916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Служба Государственного Жилищного Надзора ЧР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3,887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3,885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3,857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3,841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3,821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3,814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3,801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Чеченской Республики по туризму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3,777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3,775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3,774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3,701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3,697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Архивное управление Правительства Чеченской 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3,686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3,608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3,596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3,591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здравоохранения ЧР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3,577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3,504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3,504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3,487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3,450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3,437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3,391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3,379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3,341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3,338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3,121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3,106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(Гостехнадзор)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3,094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2,996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2,912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2,291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2,032</w:t>
            </w:r>
          </w:p>
        </w:tc>
      </w:tr>
      <w:tr w:rsidR="002608B3" w:rsidRPr="002608B3" w:rsidTr="002608B3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1,783</w:t>
            </w:r>
          </w:p>
        </w:tc>
      </w:tr>
    </w:tbl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608B3" w:rsidRDefault="002608B3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608B3" w:rsidRDefault="002608B3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608B3" w:rsidRPr="00B7081A" w:rsidRDefault="002608B3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444" w:type="dxa"/>
        <w:tblInd w:w="-284" w:type="dxa"/>
        <w:tblLook w:val="04A0" w:firstRow="1" w:lastRow="0" w:firstColumn="1" w:lastColumn="0" w:noHBand="0" w:noVBand="1"/>
      </w:tblPr>
      <w:tblGrid>
        <w:gridCol w:w="689"/>
        <w:gridCol w:w="8515"/>
        <w:gridCol w:w="1240"/>
      </w:tblGrid>
      <w:tr w:rsidR="00B7081A" w:rsidRPr="00B7081A" w:rsidTr="00B7081A">
        <w:trPr>
          <w:trHeight w:val="810"/>
        </w:trPr>
        <w:tc>
          <w:tcPr>
            <w:tcW w:w="10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</w:rPr>
            </w:pPr>
            <w:r w:rsidRPr="00B7081A">
              <w:rPr>
                <w:b/>
                <w:bCs/>
                <w:color w:val="000000"/>
              </w:rPr>
              <w:lastRenderedPageBreak/>
              <w:t xml:space="preserve">Рейтинг главных распорядителей средств бюджета </w:t>
            </w:r>
          </w:p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</w:rPr>
            </w:pPr>
            <w:r w:rsidRPr="00B7081A">
              <w:rPr>
                <w:b/>
                <w:bCs/>
                <w:color w:val="000000"/>
              </w:rPr>
              <w:t xml:space="preserve">Чеченской Республики по результатам оценки качества финансового менеджмента за </w:t>
            </w:r>
            <w:r w:rsidR="008E3625">
              <w:rPr>
                <w:b/>
                <w:bCs/>
                <w:color w:val="000000"/>
              </w:rPr>
              <w:t>2020</w:t>
            </w:r>
            <w:r w:rsidRPr="00B7081A">
              <w:rPr>
                <w:b/>
                <w:bCs/>
                <w:color w:val="000000"/>
              </w:rPr>
              <w:t xml:space="preserve"> год по отдельным направлениям:</w:t>
            </w:r>
          </w:p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7081A" w:rsidRPr="00B7081A" w:rsidTr="00B7081A">
        <w:trPr>
          <w:trHeight w:val="375"/>
        </w:trPr>
        <w:tc>
          <w:tcPr>
            <w:tcW w:w="10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bCs/>
                <w:color w:val="000000"/>
              </w:rPr>
            </w:pPr>
            <w:r w:rsidRPr="00B7081A">
              <w:rPr>
                <w:bCs/>
                <w:color w:val="000000"/>
              </w:rPr>
              <w:t>1. Среднесрочное финансовое планирование:</w:t>
            </w:r>
          </w:p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7081A" w:rsidRPr="00B7081A" w:rsidTr="00B7081A">
        <w:trPr>
          <w:trHeight w:val="48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1A" w:rsidRPr="00B7081A" w:rsidRDefault="00B7081A" w:rsidP="00B708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081A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1A" w:rsidRPr="00B7081A" w:rsidRDefault="002608B3" w:rsidP="00B708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0,787</w:t>
            </w:r>
          </w:p>
        </w:tc>
      </w:tr>
      <w:tr w:rsidR="00B7081A" w:rsidRPr="00B7081A" w:rsidTr="00B7081A">
        <w:trPr>
          <w:trHeight w:val="31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rPr>
                <w:sz w:val="20"/>
                <w:szCs w:val="20"/>
              </w:rPr>
            </w:pPr>
          </w:p>
        </w:tc>
      </w:tr>
      <w:tr w:rsidR="00B7081A" w:rsidRPr="00B7081A" w:rsidTr="00B7081A">
        <w:trPr>
          <w:trHeight w:val="5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81A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81A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81A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1,250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1,100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1,100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1,078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1,000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1,000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0,990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0,990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Чеченской Республики по туризму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0,975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0,968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здравоохранения ЧР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0,968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0,946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0,924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промышленности и энергетики 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0,924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0,880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0,875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0,875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0,858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0,850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0,825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0,775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0,770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0,770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0,750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0,750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0,725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0,725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0,725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0,725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Служба Государственного Жилищного Надзора ЧР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0,725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0,675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0,660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0,625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0,625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Архивное управление Правительства Чеченской 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0,575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0,550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(Гостехнадзор)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0,500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0,500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0,450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0,352</w:t>
            </w:r>
          </w:p>
        </w:tc>
      </w:tr>
      <w:tr w:rsidR="002608B3" w:rsidRPr="002608B3" w:rsidTr="002608B3">
        <w:trPr>
          <w:trHeight w:val="2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B3" w:rsidRPr="002608B3" w:rsidRDefault="002608B3" w:rsidP="00260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08B3">
              <w:rPr>
                <w:bCs/>
                <w:color w:val="000000"/>
                <w:sz w:val="22"/>
                <w:szCs w:val="22"/>
              </w:rPr>
              <w:t>0,125</w:t>
            </w:r>
          </w:p>
        </w:tc>
      </w:tr>
    </w:tbl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608B3" w:rsidRDefault="002608B3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608B3" w:rsidRPr="00B7081A" w:rsidRDefault="002608B3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45BE" w:rsidRPr="00B7081A" w:rsidRDefault="00A045BE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460" w:type="dxa"/>
        <w:tblInd w:w="-284" w:type="dxa"/>
        <w:tblLook w:val="04A0" w:firstRow="1" w:lastRow="0" w:firstColumn="1" w:lastColumn="0" w:noHBand="0" w:noVBand="1"/>
      </w:tblPr>
      <w:tblGrid>
        <w:gridCol w:w="840"/>
        <w:gridCol w:w="8200"/>
        <w:gridCol w:w="1420"/>
      </w:tblGrid>
      <w:tr w:rsidR="00B7081A" w:rsidRPr="00B7081A" w:rsidTr="00BB3575">
        <w:trPr>
          <w:trHeight w:val="39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bCs/>
              </w:rPr>
            </w:pPr>
            <w:r w:rsidRPr="00B7081A">
              <w:rPr>
                <w:bCs/>
              </w:rPr>
              <w:t>2. Исполнение бюджета в части расходов:</w:t>
            </w:r>
          </w:p>
          <w:p w:rsidR="00B7081A" w:rsidRPr="00B7081A" w:rsidRDefault="00B7081A" w:rsidP="00B7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sz w:val="20"/>
                <w:szCs w:val="20"/>
              </w:rPr>
            </w:pPr>
          </w:p>
        </w:tc>
      </w:tr>
      <w:tr w:rsidR="00B7081A" w:rsidRPr="00B7081A" w:rsidTr="00BB3575">
        <w:trPr>
          <w:trHeight w:val="48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1A" w:rsidRPr="00B7081A" w:rsidRDefault="00B7081A" w:rsidP="00B708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081A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1A" w:rsidRPr="00B7081A" w:rsidRDefault="006D1B96" w:rsidP="00B708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0,730</w:t>
            </w:r>
          </w:p>
        </w:tc>
      </w:tr>
      <w:tr w:rsidR="00B7081A" w:rsidRPr="00B7081A" w:rsidTr="00BB3575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rPr>
                <w:sz w:val="20"/>
                <w:szCs w:val="20"/>
              </w:rPr>
            </w:pPr>
          </w:p>
        </w:tc>
      </w:tr>
      <w:tr w:rsidR="00B7081A" w:rsidRPr="00B7081A" w:rsidTr="00BB3575">
        <w:trPr>
          <w:trHeight w:val="5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81A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81A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81A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1,000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Чеченской Республики по туризму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0,958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0,916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Служба Государственного Жилищного Надзора ЧР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0,916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0,916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0,874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0,874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0,874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0,840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Архивное управление Правительства Чеченской 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0,840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0,840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0,840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0,799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0,799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0,798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0,798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0,798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0,790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0,774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промышленности и энергетики 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0,748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0,748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0,748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0,723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0,723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0,723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0,714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0,714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0,697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0,697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здравоохранения ЧР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0,697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0,672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0,672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0,664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0,630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0,621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0,595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0,580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(Гостехнадзор)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0,546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0,462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0,420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0,417</w:t>
            </w:r>
          </w:p>
        </w:tc>
      </w:tr>
      <w:tr w:rsidR="006D1B96" w:rsidRPr="006D1B96" w:rsidTr="006D1B96">
        <w:trPr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0,210</w:t>
            </w:r>
          </w:p>
        </w:tc>
      </w:tr>
    </w:tbl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D1B96" w:rsidRDefault="006D1B96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D1B96" w:rsidRPr="00B7081A" w:rsidRDefault="006D1B96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47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46"/>
        <w:gridCol w:w="8217"/>
        <w:gridCol w:w="1412"/>
      </w:tblGrid>
      <w:tr w:rsidR="00B7081A" w:rsidRPr="00B7081A" w:rsidTr="00B7267B">
        <w:trPr>
          <w:trHeight w:val="3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bCs/>
              </w:rPr>
            </w:pPr>
            <w:r w:rsidRPr="00B7081A">
              <w:rPr>
                <w:bCs/>
              </w:rPr>
              <w:t>3. Учет и отчетность:</w:t>
            </w:r>
          </w:p>
          <w:p w:rsidR="00B7081A" w:rsidRPr="00B7081A" w:rsidRDefault="00B7081A" w:rsidP="00B7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sz w:val="20"/>
                <w:szCs w:val="20"/>
              </w:rPr>
            </w:pPr>
          </w:p>
        </w:tc>
      </w:tr>
      <w:tr w:rsidR="00B7081A" w:rsidRPr="00B7081A" w:rsidTr="00B7267B">
        <w:trPr>
          <w:trHeight w:val="4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1A" w:rsidRPr="00B7081A" w:rsidRDefault="00B7081A" w:rsidP="00B708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081A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1A" w:rsidRPr="00B7081A" w:rsidRDefault="006D1B96" w:rsidP="00B708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0,505</w:t>
            </w:r>
          </w:p>
        </w:tc>
      </w:tr>
      <w:tr w:rsidR="00B7081A" w:rsidRPr="00B7081A" w:rsidTr="00B7267B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rPr>
                <w:sz w:val="20"/>
                <w:szCs w:val="20"/>
              </w:rPr>
            </w:pPr>
          </w:p>
        </w:tc>
      </w:tr>
      <w:tr w:rsidR="00B7081A" w:rsidRPr="00B7081A" w:rsidTr="00B7267B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81A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81A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81A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Архивное управление Правительства Чеченской 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(Гостехнадзор)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Чеченской Республики по туризму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Служба Государственного Жилищного Надзора ЧР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здравоохранения ЧР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промышленности и энергетики 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</w:tbl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D1B96" w:rsidRDefault="006D1B96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D1B96" w:rsidRPr="00B7081A" w:rsidRDefault="006D1B96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47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46"/>
        <w:gridCol w:w="8217"/>
        <w:gridCol w:w="1412"/>
      </w:tblGrid>
      <w:tr w:rsidR="00B7081A" w:rsidRPr="00B7081A" w:rsidTr="004F71B8">
        <w:trPr>
          <w:trHeight w:val="3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bCs/>
              </w:rPr>
            </w:pPr>
            <w:r w:rsidRPr="00B7081A">
              <w:rPr>
                <w:bCs/>
              </w:rPr>
              <w:t>4. Контроль и аудит:</w:t>
            </w:r>
          </w:p>
          <w:p w:rsidR="00B7081A" w:rsidRPr="00B7081A" w:rsidRDefault="00B7081A" w:rsidP="00B7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sz w:val="20"/>
                <w:szCs w:val="20"/>
              </w:rPr>
            </w:pPr>
          </w:p>
        </w:tc>
      </w:tr>
      <w:tr w:rsidR="00B7081A" w:rsidRPr="00B7081A" w:rsidTr="004F71B8">
        <w:trPr>
          <w:trHeight w:val="4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1A" w:rsidRPr="00B7081A" w:rsidRDefault="00B7081A" w:rsidP="00B708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081A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1A" w:rsidRPr="00B7081A" w:rsidRDefault="006D1B96" w:rsidP="00B708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0,568</w:t>
            </w:r>
          </w:p>
        </w:tc>
      </w:tr>
      <w:tr w:rsidR="00B7081A" w:rsidRPr="00B7081A" w:rsidTr="004F71B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rPr>
                <w:sz w:val="20"/>
                <w:szCs w:val="20"/>
              </w:rPr>
            </w:pPr>
          </w:p>
        </w:tc>
      </w:tr>
      <w:tr w:rsidR="00B7081A" w:rsidRPr="00B7081A" w:rsidTr="004F71B8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81A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81A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81A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0,650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0,650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0,650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0,650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Архивное управление Правительства Чеченской 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0,650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(Гостехнадзор)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0,650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0,650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0,650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0,650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0,650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0,650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0,650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0,650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0,650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0,650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Чеченской Республики по туризму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0,650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0,650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0,650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0,650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0,650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Служба Государственного Жилищного Надзора ЧР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0,650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0,650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0,607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0,564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0,500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0,500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0,500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0,500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0,500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0,500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0,500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промышленности и энергетики 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0,500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0,500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0,500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0,500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0,500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0,467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здравоохранения ЧР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0,467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0,436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0,335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0,335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0,335</w:t>
            </w:r>
          </w:p>
        </w:tc>
      </w:tr>
    </w:tbl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45BE" w:rsidRDefault="00A045BE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D1B96" w:rsidRDefault="006D1B96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D1B96" w:rsidRPr="00B7081A" w:rsidRDefault="006D1B96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47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46"/>
        <w:gridCol w:w="8217"/>
        <w:gridCol w:w="1412"/>
      </w:tblGrid>
      <w:tr w:rsidR="00B7081A" w:rsidRPr="00B7081A" w:rsidTr="006903E7">
        <w:trPr>
          <w:trHeight w:val="3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bCs/>
              </w:rPr>
            </w:pPr>
            <w:r w:rsidRPr="00B7081A">
              <w:rPr>
                <w:bCs/>
              </w:rPr>
              <w:t>5. Исполнение судебных актов:</w:t>
            </w:r>
          </w:p>
          <w:p w:rsidR="00B7081A" w:rsidRPr="00B7081A" w:rsidRDefault="00B7081A" w:rsidP="00B7081A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sz w:val="20"/>
                <w:szCs w:val="20"/>
              </w:rPr>
            </w:pPr>
          </w:p>
        </w:tc>
      </w:tr>
      <w:tr w:rsidR="00B7081A" w:rsidRPr="00B7081A" w:rsidTr="006903E7">
        <w:trPr>
          <w:trHeight w:val="4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1A" w:rsidRPr="00B7081A" w:rsidRDefault="00B7081A" w:rsidP="00B708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081A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1A" w:rsidRPr="00B7081A" w:rsidRDefault="006D1B96" w:rsidP="00B708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0,486</w:t>
            </w:r>
          </w:p>
        </w:tc>
      </w:tr>
      <w:tr w:rsidR="00B7081A" w:rsidRPr="00B7081A" w:rsidTr="006903E7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rPr>
                <w:sz w:val="20"/>
                <w:szCs w:val="20"/>
              </w:rPr>
            </w:pPr>
          </w:p>
        </w:tc>
      </w:tr>
      <w:tr w:rsidR="00B7081A" w:rsidRPr="00B7081A" w:rsidTr="006903E7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81A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81A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81A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bookmarkStart w:id="1" w:name="_GoBack" w:colFirst="1" w:colLast="1"/>
            <w:r w:rsidRPr="006D1B9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Архивное управление Правительства Чеченской 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(Гостехнадзор)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Служба Государственного Жилищного Надзора ЧР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здравоохранения ЧР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промышленности и энергетики 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Чеченской Республики по туризму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0,396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bookmarkEnd w:id="1"/>
    </w:tbl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D1B96" w:rsidRDefault="006D1B96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D1B96" w:rsidRPr="00B7081A" w:rsidRDefault="006D1B96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jc w:val="center"/>
        <w:rPr>
          <w:rFonts w:eastAsiaTheme="minorHAnsi"/>
          <w:bCs/>
          <w:lang w:eastAsia="en-US"/>
        </w:rPr>
      </w:pPr>
      <w:r w:rsidRPr="00B7081A">
        <w:rPr>
          <w:rFonts w:eastAsiaTheme="minorHAnsi"/>
          <w:bCs/>
          <w:lang w:eastAsia="en-US"/>
        </w:rPr>
        <w:lastRenderedPageBreak/>
        <w:t>6. Повышение эффективности предоставления государственных услуг и оптимизация подведомственной сети бюджетных учреждений:</w:t>
      </w:r>
    </w:p>
    <w:tbl>
      <w:tblPr>
        <w:tblW w:w="10333" w:type="dxa"/>
        <w:tblInd w:w="-284" w:type="dxa"/>
        <w:tblLook w:val="04A0" w:firstRow="1" w:lastRow="0" w:firstColumn="1" w:lastColumn="0" w:noHBand="0" w:noVBand="1"/>
      </w:tblPr>
      <w:tblGrid>
        <w:gridCol w:w="846"/>
        <w:gridCol w:w="8216"/>
        <w:gridCol w:w="1271"/>
      </w:tblGrid>
      <w:tr w:rsidR="00B7081A" w:rsidRPr="00B7081A" w:rsidTr="004F3295">
        <w:trPr>
          <w:trHeight w:val="4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rPr>
                <w:sz w:val="24"/>
                <w:szCs w:val="24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1A" w:rsidRPr="00B7081A" w:rsidRDefault="00B7081A" w:rsidP="00B708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081A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1A" w:rsidRPr="00B7081A" w:rsidRDefault="006D1B96" w:rsidP="00B708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0,158</w:t>
            </w:r>
          </w:p>
        </w:tc>
      </w:tr>
      <w:tr w:rsidR="00B7081A" w:rsidRPr="00B7081A" w:rsidTr="004F3295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rPr>
                <w:sz w:val="20"/>
                <w:szCs w:val="20"/>
              </w:rPr>
            </w:pPr>
          </w:p>
        </w:tc>
      </w:tr>
      <w:tr w:rsidR="00B7081A" w:rsidRPr="00B7081A" w:rsidTr="004F3295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81A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81A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81A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0,880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0,684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промышленности и энергетики 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0,660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0,540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0,532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0,420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0,420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здравоохранения ЧР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0,340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0,320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0,260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0,240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0,240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0,120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Архивное управление Правительства Чеченской 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(Гостехнадзор)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Чеченской Республики по туризму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Служба Государственного Жилищного Надзора ЧР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</w:tbl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D1B96" w:rsidRDefault="006D1B96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D1B96" w:rsidRPr="00B7081A" w:rsidRDefault="006D1B96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470" w:type="dxa"/>
        <w:tblInd w:w="-284" w:type="dxa"/>
        <w:tblLook w:val="04A0" w:firstRow="1" w:lastRow="0" w:firstColumn="1" w:lastColumn="0" w:noHBand="0" w:noVBand="1"/>
      </w:tblPr>
      <w:tblGrid>
        <w:gridCol w:w="846"/>
        <w:gridCol w:w="8353"/>
        <w:gridCol w:w="1271"/>
      </w:tblGrid>
      <w:tr w:rsidR="00B7081A" w:rsidRPr="00B7081A" w:rsidTr="001F79B2">
        <w:trPr>
          <w:trHeight w:val="3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bCs/>
              </w:rPr>
            </w:pPr>
            <w:r w:rsidRPr="00B7081A">
              <w:rPr>
                <w:bCs/>
              </w:rPr>
              <w:t>7. Кадровый потенциал финансового (финансово-экономического) подразделения главных распорядителей средств бюджета</w:t>
            </w:r>
          </w:p>
          <w:p w:rsidR="00B7081A" w:rsidRPr="00B7081A" w:rsidRDefault="00B7081A" w:rsidP="00B7081A">
            <w:pPr>
              <w:jc w:val="center"/>
              <w:rPr>
                <w:bCs/>
              </w:rPr>
            </w:pPr>
            <w:r w:rsidRPr="00B7081A">
              <w:rPr>
                <w:bCs/>
              </w:rPr>
              <w:t>Чеченской Республики: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sz w:val="20"/>
                <w:szCs w:val="20"/>
              </w:rPr>
            </w:pPr>
          </w:p>
        </w:tc>
      </w:tr>
      <w:tr w:rsidR="00B7081A" w:rsidRPr="00B7081A" w:rsidTr="001F79B2">
        <w:trPr>
          <w:trHeight w:val="4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1A" w:rsidRPr="00B7081A" w:rsidRDefault="00B7081A" w:rsidP="00B708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081A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081A">
              <w:rPr>
                <w:b/>
                <w:bCs/>
                <w:color w:val="000000"/>
                <w:sz w:val="24"/>
                <w:szCs w:val="24"/>
              </w:rPr>
              <w:t>0,31</w:t>
            </w:r>
            <w:r w:rsidR="006D1B96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7081A" w:rsidRPr="00B7081A" w:rsidTr="001F79B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1A" w:rsidRPr="00B7081A" w:rsidRDefault="00B7081A" w:rsidP="00B7081A">
            <w:pPr>
              <w:rPr>
                <w:sz w:val="20"/>
                <w:szCs w:val="20"/>
              </w:rPr>
            </w:pPr>
          </w:p>
        </w:tc>
      </w:tr>
      <w:tr w:rsidR="00B7081A" w:rsidRPr="00B7081A" w:rsidTr="001F79B2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81A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81A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1A" w:rsidRPr="00B7081A" w:rsidRDefault="00B7081A" w:rsidP="00B70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81A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0,684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0,594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0,524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0,486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0,486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0,473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0,473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0,468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0,436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0,428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Архивное управление Правительства Чеченской 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0,396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0,396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0,396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Служба Государственного Жилищного Надзора ЧР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0,396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0,396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0,380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промышленности и энергетики 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0,348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0,335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0,317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0,309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здравоохранения ЧР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0,305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0,294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0,278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0,278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0,277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0,255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0,216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0,198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0,198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0,198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(Гостехнадзор)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0,198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0,198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0,198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Чеченской Республики по туризму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0,198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0,198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0,198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0,144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0,128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0,128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0,128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0,102</w:t>
            </w:r>
          </w:p>
        </w:tc>
      </w:tr>
      <w:tr w:rsidR="006D1B96" w:rsidRPr="006D1B96" w:rsidTr="006D1B9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96" w:rsidRPr="006D1B96" w:rsidRDefault="006D1B96" w:rsidP="006D1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1B96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</w:tbl>
    <w:p w:rsidR="00B7081A" w:rsidRPr="00B7081A" w:rsidRDefault="00B7081A" w:rsidP="00B708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081A" w:rsidRDefault="00B7081A" w:rsidP="00E7288D">
      <w:pPr>
        <w:rPr>
          <w:b/>
          <w:bCs/>
        </w:rPr>
      </w:pPr>
    </w:p>
    <w:sectPr w:rsidR="00B7081A" w:rsidSect="00D87E74"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8EC" w:rsidRDefault="007048EC" w:rsidP="00CF58A9">
      <w:r>
        <w:separator/>
      </w:r>
    </w:p>
  </w:endnote>
  <w:endnote w:type="continuationSeparator" w:id="0">
    <w:p w:rsidR="007048EC" w:rsidRDefault="007048EC" w:rsidP="00CF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8EC" w:rsidRDefault="007048EC" w:rsidP="00CF58A9">
      <w:r>
        <w:separator/>
      </w:r>
    </w:p>
  </w:footnote>
  <w:footnote w:type="continuationSeparator" w:id="0">
    <w:p w:rsidR="007048EC" w:rsidRDefault="007048EC" w:rsidP="00CF5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E0420"/>
    <w:multiLevelType w:val="hybridMultilevel"/>
    <w:tmpl w:val="454C0BF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946B88"/>
    <w:multiLevelType w:val="hybridMultilevel"/>
    <w:tmpl w:val="0FF8D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33979"/>
    <w:multiLevelType w:val="hybridMultilevel"/>
    <w:tmpl w:val="F1304A22"/>
    <w:lvl w:ilvl="0" w:tplc="F8BA8356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4EC58F6"/>
    <w:multiLevelType w:val="hybridMultilevel"/>
    <w:tmpl w:val="73F4F7C8"/>
    <w:lvl w:ilvl="0" w:tplc="399EA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0E76E6"/>
    <w:multiLevelType w:val="hybridMultilevel"/>
    <w:tmpl w:val="454C0BF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C2"/>
    <w:rsid w:val="00014694"/>
    <w:rsid w:val="000221AD"/>
    <w:rsid w:val="00037641"/>
    <w:rsid w:val="000677EC"/>
    <w:rsid w:val="00071019"/>
    <w:rsid w:val="00072A36"/>
    <w:rsid w:val="0007337C"/>
    <w:rsid w:val="00077626"/>
    <w:rsid w:val="00085FC0"/>
    <w:rsid w:val="00090FC2"/>
    <w:rsid w:val="000B6F4E"/>
    <w:rsid w:val="000C7689"/>
    <w:rsid w:val="000F5274"/>
    <w:rsid w:val="00121690"/>
    <w:rsid w:val="00130F62"/>
    <w:rsid w:val="001346F0"/>
    <w:rsid w:val="00142CD3"/>
    <w:rsid w:val="001469A4"/>
    <w:rsid w:val="00167263"/>
    <w:rsid w:val="00171DF0"/>
    <w:rsid w:val="00183858"/>
    <w:rsid w:val="00184E5F"/>
    <w:rsid w:val="00194F81"/>
    <w:rsid w:val="00195E98"/>
    <w:rsid w:val="001973F1"/>
    <w:rsid w:val="001A5F6E"/>
    <w:rsid w:val="001B2F59"/>
    <w:rsid w:val="001C0A67"/>
    <w:rsid w:val="001D1895"/>
    <w:rsid w:val="001F79B2"/>
    <w:rsid w:val="00237158"/>
    <w:rsid w:val="002537C6"/>
    <w:rsid w:val="00255D9A"/>
    <w:rsid w:val="002608B3"/>
    <w:rsid w:val="00271509"/>
    <w:rsid w:val="00272F67"/>
    <w:rsid w:val="00297976"/>
    <w:rsid w:val="002A1906"/>
    <w:rsid w:val="002C7C6E"/>
    <w:rsid w:val="002E4E92"/>
    <w:rsid w:val="002F380B"/>
    <w:rsid w:val="00322712"/>
    <w:rsid w:val="00345F99"/>
    <w:rsid w:val="00380315"/>
    <w:rsid w:val="00387D72"/>
    <w:rsid w:val="003A6500"/>
    <w:rsid w:val="003B0A02"/>
    <w:rsid w:val="003B2E76"/>
    <w:rsid w:val="003E18AA"/>
    <w:rsid w:val="00413D9C"/>
    <w:rsid w:val="0041686B"/>
    <w:rsid w:val="00450C3D"/>
    <w:rsid w:val="00483AA7"/>
    <w:rsid w:val="00486173"/>
    <w:rsid w:val="004A79D9"/>
    <w:rsid w:val="004C150A"/>
    <w:rsid w:val="004C1C9C"/>
    <w:rsid w:val="004D3304"/>
    <w:rsid w:val="004E3B03"/>
    <w:rsid w:val="004F0F23"/>
    <w:rsid w:val="004F3295"/>
    <w:rsid w:val="004F71B8"/>
    <w:rsid w:val="00527CA9"/>
    <w:rsid w:val="00576CF3"/>
    <w:rsid w:val="005862D0"/>
    <w:rsid w:val="005B0724"/>
    <w:rsid w:val="005B07BE"/>
    <w:rsid w:val="005C61E8"/>
    <w:rsid w:val="005D2047"/>
    <w:rsid w:val="005D27A2"/>
    <w:rsid w:val="005F08E6"/>
    <w:rsid w:val="005F5571"/>
    <w:rsid w:val="006215B4"/>
    <w:rsid w:val="00624E5B"/>
    <w:rsid w:val="0064623A"/>
    <w:rsid w:val="00681856"/>
    <w:rsid w:val="006903E7"/>
    <w:rsid w:val="006C134E"/>
    <w:rsid w:val="006D1B96"/>
    <w:rsid w:val="006F5A8B"/>
    <w:rsid w:val="00700998"/>
    <w:rsid w:val="0070174A"/>
    <w:rsid w:val="007048EC"/>
    <w:rsid w:val="0071294C"/>
    <w:rsid w:val="00755A99"/>
    <w:rsid w:val="00762C50"/>
    <w:rsid w:val="007B637F"/>
    <w:rsid w:val="007C2D66"/>
    <w:rsid w:val="007C3255"/>
    <w:rsid w:val="007D0CB0"/>
    <w:rsid w:val="007D4E8F"/>
    <w:rsid w:val="007E16F5"/>
    <w:rsid w:val="007E6075"/>
    <w:rsid w:val="00816F4C"/>
    <w:rsid w:val="00830110"/>
    <w:rsid w:val="008521DC"/>
    <w:rsid w:val="00854EF2"/>
    <w:rsid w:val="00863972"/>
    <w:rsid w:val="00870AE9"/>
    <w:rsid w:val="00877F69"/>
    <w:rsid w:val="008D4006"/>
    <w:rsid w:val="008E3625"/>
    <w:rsid w:val="0090065A"/>
    <w:rsid w:val="00900F3C"/>
    <w:rsid w:val="00913CA1"/>
    <w:rsid w:val="00917092"/>
    <w:rsid w:val="00935AA0"/>
    <w:rsid w:val="00936EC7"/>
    <w:rsid w:val="00941A42"/>
    <w:rsid w:val="00942CF0"/>
    <w:rsid w:val="00946993"/>
    <w:rsid w:val="00954029"/>
    <w:rsid w:val="00992A3D"/>
    <w:rsid w:val="009A3C01"/>
    <w:rsid w:val="009D5C4E"/>
    <w:rsid w:val="009D727A"/>
    <w:rsid w:val="009E52A0"/>
    <w:rsid w:val="00A045BE"/>
    <w:rsid w:val="00A10B19"/>
    <w:rsid w:val="00A1278D"/>
    <w:rsid w:val="00A234E1"/>
    <w:rsid w:val="00A44B7C"/>
    <w:rsid w:val="00A50FAA"/>
    <w:rsid w:val="00A65FC8"/>
    <w:rsid w:val="00A9277D"/>
    <w:rsid w:val="00AA0996"/>
    <w:rsid w:val="00AA5D7F"/>
    <w:rsid w:val="00AD5D7B"/>
    <w:rsid w:val="00AF4F54"/>
    <w:rsid w:val="00AF582B"/>
    <w:rsid w:val="00B057ED"/>
    <w:rsid w:val="00B478F9"/>
    <w:rsid w:val="00B55EFF"/>
    <w:rsid w:val="00B7081A"/>
    <w:rsid w:val="00B7267B"/>
    <w:rsid w:val="00B773C3"/>
    <w:rsid w:val="00BB3575"/>
    <w:rsid w:val="00BC1823"/>
    <w:rsid w:val="00BD590A"/>
    <w:rsid w:val="00BF485E"/>
    <w:rsid w:val="00BF48CC"/>
    <w:rsid w:val="00C266FD"/>
    <w:rsid w:val="00C30154"/>
    <w:rsid w:val="00C737E0"/>
    <w:rsid w:val="00C93153"/>
    <w:rsid w:val="00CA62EE"/>
    <w:rsid w:val="00CB5CBA"/>
    <w:rsid w:val="00CD4657"/>
    <w:rsid w:val="00CF58A9"/>
    <w:rsid w:val="00D067E9"/>
    <w:rsid w:val="00D17E66"/>
    <w:rsid w:val="00D43797"/>
    <w:rsid w:val="00D560AE"/>
    <w:rsid w:val="00D73AE4"/>
    <w:rsid w:val="00D84CF9"/>
    <w:rsid w:val="00D87E74"/>
    <w:rsid w:val="00D92342"/>
    <w:rsid w:val="00DA6F89"/>
    <w:rsid w:val="00DC705A"/>
    <w:rsid w:val="00DD0750"/>
    <w:rsid w:val="00DF6C18"/>
    <w:rsid w:val="00E05E7A"/>
    <w:rsid w:val="00E31EAC"/>
    <w:rsid w:val="00E57508"/>
    <w:rsid w:val="00E62AE5"/>
    <w:rsid w:val="00E7288D"/>
    <w:rsid w:val="00E7434E"/>
    <w:rsid w:val="00E96D31"/>
    <w:rsid w:val="00EA491C"/>
    <w:rsid w:val="00EB43F8"/>
    <w:rsid w:val="00EE7E06"/>
    <w:rsid w:val="00EF5159"/>
    <w:rsid w:val="00F22B54"/>
    <w:rsid w:val="00F23ADB"/>
    <w:rsid w:val="00F26622"/>
    <w:rsid w:val="00F266E8"/>
    <w:rsid w:val="00F3171A"/>
    <w:rsid w:val="00F33EC2"/>
    <w:rsid w:val="00F423AF"/>
    <w:rsid w:val="00F50E5F"/>
    <w:rsid w:val="00F7515E"/>
    <w:rsid w:val="00FB0320"/>
    <w:rsid w:val="00FD7376"/>
    <w:rsid w:val="00F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1EFA4E-F231-4F0B-88F7-E3FCF516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55"/>
    <w:rPr>
      <w:sz w:val="28"/>
      <w:szCs w:val="28"/>
    </w:rPr>
  </w:style>
  <w:style w:type="paragraph" w:styleId="1">
    <w:name w:val="heading 1"/>
    <w:basedOn w:val="a"/>
    <w:next w:val="a"/>
    <w:qFormat/>
    <w:rsid w:val="007C3255"/>
    <w:pPr>
      <w:keepNext/>
      <w:spacing w:before="80" w:after="360"/>
      <w:jc w:val="center"/>
      <w:outlineLvl w:val="0"/>
    </w:pPr>
    <w:rPr>
      <w:b/>
      <w:spacing w:val="2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6818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rsid w:val="006818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CF5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58A9"/>
    <w:rPr>
      <w:sz w:val="28"/>
      <w:szCs w:val="28"/>
    </w:rPr>
  </w:style>
  <w:style w:type="paragraph" w:styleId="a8">
    <w:name w:val="footer"/>
    <w:basedOn w:val="a"/>
    <w:link w:val="a9"/>
    <w:unhideWhenUsed/>
    <w:rsid w:val="00CF5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F58A9"/>
    <w:rPr>
      <w:sz w:val="28"/>
      <w:szCs w:val="28"/>
    </w:rPr>
  </w:style>
  <w:style w:type="paragraph" w:styleId="aa">
    <w:name w:val="List Paragraph"/>
    <w:basedOn w:val="a"/>
    <w:uiPriority w:val="99"/>
    <w:qFormat/>
    <w:rsid w:val="00E728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B7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18</Pages>
  <Words>4680</Words>
  <Characters>26678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1</Company>
  <LinksUpToDate>false</LinksUpToDate>
  <CharactersWithSpaces>31296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1</dc:creator>
  <cp:keywords/>
  <dc:description/>
  <cp:lastModifiedBy>Гайрбеков Апти Султанович</cp:lastModifiedBy>
  <cp:revision>4</cp:revision>
  <cp:lastPrinted>2017-05-03T11:19:00Z</cp:lastPrinted>
  <dcterms:created xsi:type="dcterms:W3CDTF">2020-04-24T10:30:00Z</dcterms:created>
  <dcterms:modified xsi:type="dcterms:W3CDTF">2021-04-19T13:08:00Z</dcterms:modified>
</cp:coreProperties>
</file>