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EC3453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 w:rsidRPr="00EC345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.1pt;height:107.3pt">
            <v:imagedata r:id="rId7" o:title="" croptop="-25f" cropbottom="56434f" cropleft="546f" cropright="32258f"/>
          </v:shape>
        </w:pic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981B1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государственному </w:t>
      </w:r>
      <w:r w:rsidR="002E07B5"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Министерства </w:t>
      </w:r>
      <w:r w:rsidR="00146F6A">
        <w:rPr>
          <w:b/>
          <w:color w:val="000000"/>
          <w:sz w:val="28"/>
          <w:szCs w:val="28"/>
        </w:rPr>
        <w:t>финансов Чеченской Республики</w:t>
      </w:r>
      <w:r w:rsidRPr="00C65016">
        <w:rPr>
          <w:b/>
          <w:color w:val="000000"/>
          <w:sz w:val="28"/>
          <w:szCs w:val="28"/>
        </w:rPr>
        <w:t>, планирующему увольнение с государственной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146F6A" w:rsidRDefault="00146F6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146F6A" w:rsidRDefault="00146F6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146F6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Грозный</w:t>
      </w:r>
      <w:r w:rsidR="002E07B5" w:rsidRPr="00C65016">
        <w:rPr>
          <w:b/>
          <w:color w:val="000000"/>
          <w:sz w:val="28"/>
          <w:szCs w:val="28"/>
        </w:rPr>
        <w:t>, 201</w:t>
      </w:r>
      <w:r>
        <w:rPr>
          <w:b/>
          <w:color w:val="000000"/>
          <w:sz w:val="28"/>
          <w:szCs w:val="28"/>
        </w:rPr>
        <w:t>6</w:t>
      </w:r>
    </w:p>
    <w:p w:rsidR="0077283A" w:rsidRPr="00C65016" w:rsidRDefault="0077283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  <w:r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874B64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EC3453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3C6B8D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3C6B8D" w:rsidRPr="00380CC5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обязан при заключении трудовых или гражданско-правовых договоров на выполнение работ (оказание услуг), указанных в </w:t>
                  </w:r>
                  <w:hyperlink r:id="rId9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10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 xml:space="preserve"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организации и (или) на выполнение в данной организации работ (оказание данной организации услуг) на условиях гражданско-правового договора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семи дней со дня поступления указанного обращения в порядке, устанавливаемом нормативными правовыми актами Российской Федерации,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и о принятом решении направить гражданину письменное уведомление </w:t>
      </w:r>
      <w:r w:rsidR="00D04ABD">
        <w:rPr>
          <w:bCs/>
          <w:color w:val="000000"/>
          <w:sz w:val="28"/>
          <w:szCs w:val="28"/>
        </w:rPr>
        <w:br/>
        <w:t>не позднее</w:t>
      </w:r>
      <w:r w:rsidRPr="00C65016">
        <w:rPr>
          <w:bCs/>
          <w:color w:val="000000"/>
          <w:sz w:val="28"/>
          <w:szCs w:val="28"/>
        </w:rPr>
        <w:t xml:space="preserve"> одного рабочего дня</w:t>
      </w:r>
      <w:r w:rsidR="00D04ABD">
        <w:rPr>
          <w:bCs/>
          <w:color w:val="000000"/>
          <w:sz w:val="28"/>
          <w:szCs w:val="28"/>
        </w:rPr>
        <w:t>, следующего за днем проведения соответствующего заседания комиссии</w:t>
      </w:r>
      <w:r w:rsidRPr="00C65016">
        <w:rPr>
          <w:bCs/>
          <w:color w:val="000000"/>
          <w:sz w:val="28"/>
          <w:szCs w:val="28"/>
        </w:rPr>
        <w:t>.</w:t>
      </w:r>
    </w:p>
    <w:p w:rsidR="00E271C7" w:rsidRDefault="00EC3453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3C6B8D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3C6B8D" w:rsidRPr="00ED7F1A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3C6B8D" w:rsidRPr="00E14FBB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3C6B8D" w:rsidRDefault="003C6B8D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1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2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3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приказом Министерства</w:t>
      </w:r>
      <w:r w:rsidR="00380CC5" w:rsidRPr="00C65016">
        <w:rPr>
          <w:bCs/>
          <w:color w:val="000000"/>
          <w:sz w:val="28"/>
          <w:szCs w:val="28"/>
        </w:rPr>
        <w:t xml:space="preserve"> труда и социальной защиты Российской Федерации от 10 октября 2012 г. № 307н (зарегистрирован в Минюсте России 29 декабря 2012 г. № 26469)</w:t>
      </w:r>
      <w:r w:rsidR="00280148">
        <w:rPr>
          <w:bCs/>
          <w:color w:val="000000"/>
          <w:sz w:val="28"/>
          <w:szCs w:val="28"/>
        </w:rPr>
        <w:t xml:space="preserve"> с изменениями, внесенными приказом Минтруда России от </w:t>
      </w:r>
      <w:r w:rsidR="00280148" w:rsidRPr="000C2191">
        <w:rPr>
          <w:sz w:val="28"/>
          <w:szCs w:val="28"/>
        </w:rPr>
        <w:t>11</w:t>
      </w:r>
      <w:r w:rsidR="00280148">
        <w:rPr>
          <w:sz w:val="28"/>
          <w:szCs w:val="28"/>
        </w:rPr>
        <w:t xml:space="preserve"> сентября 2</w:t>
      </w:r>
      <w:r w:rsidR="00280148" w:rsidRPr="000C2191">
        <w:rPr>
          <w:sz w:val="28"/>
          <w:szCs w:val="28"/>
        </w:rPr>
        <w:t xml:space="preserve">013 </w:t>
      </w:r>
      <w:r w:rsidR="00280148">
        <w:rPr>
          <w:sz w:val="28"/>
          <w:szCs w:val="28"/>
        </w:rPr>
        <w:t>г. №</w:t>
      </w:r>
      <w:r w:rsidR="00280148" w:rsidRPr="000C2191">
        <w:rPr>
          <w:sz w:val="28"/>
          <w:szCs w:val="28"/>
        </w:rPr>
        <w:t xml:space="preserve"> 462н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280148">
        <w:rPr>
          <w:bCs/>
          <w:color w:val="000000"/>
          <w:sz w:val="28"/>
          <w:szCs w:val="28"/>
        </w:rPr>
        <w:t>(зарегистрированы Министерством юстиции Российской Федерации 8 октября 2013 г. № 30122)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4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</w:t>
      </w:r>
      <w:r w:rsidRPr="00C65016">
        <w:rPr>
          <w:bCs/>
          <w:color w:val="000000"/>
          <w:sz w:val="28"/>
          <w:szCs w:val="28"/>
        </w:rPr>
        <w:t xml:space="preserve">, при назначении на которые граждане и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2C567E" w:rsidRDefault="002C56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470C7E" w:rsidRDefault="00470C7E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E14FBB" w:rsidRPr="00C65016" w:rsidRDefault="00E14FBB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EC3453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3C6B8D" w:rsidRPr="00C656BB" w:rsidRDefault="003C6B8D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7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9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EC3453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0;margin-top:4.1pt;width:477pt;height:169.15pt;z-index:251655680" arcsize="10923f">
            <v:textbox>
              <w:txbxContent>
                <w:p w:rsidR="003C6B8D" w:rsidRDefault="003C6B8D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3C6B8D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3C6B8D" w:rsidRPr="004C444E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</w:rPr>
        <w:lastRenderedPageBreak/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20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1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 нарушением требований, предусмотренных Федеральным </w:t>
      </w:r>
      <w:hyperlink r:id="rId22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EC3453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4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EC3453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3C6B8D" w:rsidRPr="00C65016" w:rsidRDefault="003C6B8D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3C6B8D" w:rsidRDefault="003C6B8D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lastRenderedPageBreak/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деятельности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149EB">
        <w:rPr>
          <w:b/>
          <w:bCs/>
        </w:rPr>
        <w:lastRenderedPageBreak/>
        <w:t>ПРАВИТЕЛЬСТВО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ПОСТАНОВЛЕНИЕ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ОБ УТВЕРЖДЕНИИ ПРАВИЛ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 соответствии со </w:t>
      </w:r>
      <w:hyperlink r:id="rId25" w:history="1">
        <w:r w:rsidRPr="00C149EB">
          <w:rPr>
            <w:color w:val="0000FF"/>
          </w:rPr>
          <w:t>статьей 12</w:t>
        </w:r>
      </w:hyperlink>
      <w:r w:rsidRPr="00C149EB">
        <w:t xml:space="preserve"> Федерального закона "О противодействии коррупции" Правительство Российской Федерации постановляет: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Утвердить прилагаемые </w:t>
      </w:r>
      <w:hyperlink w:anchor="Par31" w:history="1">
        <w:r w:rsidRPr="00C149EB">
          <w:rPr>
            <w:color w:val="0000FF"/>
          </w:rPr>
          <w:t>Правила</w:t>
        </w:r>
      </w:hyperlink>
      <w:r w:rsidRPr="00C149EB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Признать утратившим силу </w:t>
      </w:r>
      <w:hyperlink r:id="rId26" w:history="1">
        <w:r w:rsidRPr="00C149EB">
          <w:rPr>
            <w:color w:val="0000FF"/>
          </w:rPr>
          <w:t>постановление</w:t>
        </w:r>
      </w:hyperlink>
      <w:r w:rsidRPr="00C149EB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Председатель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Д.МЕДВЕДЕВ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Par26"/>
      <w:bookmarkEnd w:id="0"/>
      <w:r w:rsidRPr="00C149EB">
        <w:t>Утверждены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постановлением Правительства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right"/>
      </w:pPr>
      <w:r w:rsidRPr="00C149EB">
        <w:t>от 21 января 2015 г. N 29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1"/>
      <w:bookmarkEnd w:id="1"/>
      <w:r w:rsidRPr="00C149EB">
        <w:rPr>
          <w:b/>
          <w:bCs/>
        </w:rPr>
        <w:t>ПРАВИЛА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СООБЩЕНИЯ РАБОТОДАТЕЛЕМ О ЗАКЛЮЧЕНИИ ТРУДОВОГО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ИЛИ ГРАЖДАНСКО-ПРАВОВОГО ДОГОВОРА НА ВЫПОЛНЕНИЕ РАБОТ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(ОКАЗАНИЕ УСЛУГ) С ГРАЖДАНИНОМ, ЗАМЕЩАВШИМ ДОЛЖНОСТИ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ГОСУДАРСТВЕННОЙ ИЛИ МУНИЦИПАЛЬНОЙ СЛУЖБЫ, ПЕРЕЧЕНЬ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КОТОРЫХ УСТАНАВЛИВАЕТСЯ НОРМАТИВНЫМИ ПРАВОВЫМИ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149EB">
        <w:rPr>
          <w:b/>
          <w:bCs/>
        </w:rPr>
        <w:t>АКТАМИ РОССИЙСКОЙ ФЕДЕРАЦИИ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jc w:val="both"/>
      </w:pP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</w:t>
      </w:r>
      <w:r w:rsidR="00C149EB">
        <w:br/>
      </w:r>
      <w:r w:rsidRPr="00C149EB">
        <w:t xml:space="preserve">в течение месяца работ (оказание организации услуг) стоимостью более 100 тыс. рублей </w:t>
      </w:r>
      <w:r w:rsidR="00C149EB">
        <w:br/>
      </w:r>
      <w:r w:rsidRPr="00C149EB"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2. Работодатель при заключении трудового договора или гражданско-правового </w:t>
      </w:r>
      <w:r w:rsidRPr="00C149EB">
        <w:lastRenderedPageBreak/>
        <w:t xml:space="preserve">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</w:t>
      </w:r>
      <w:r w:rsidR="00C149EB">
        <w:br/>
      </w:r>
      <w:r w:rsidRPr="00C149EB">
        <w:t>о заключении такого договора в письменной форме.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4. Сообщение направляется представителю нанимателя (работодателю) гражданина </w:t>
      </w:r>
      <w:r w:rsidR="00C149EB">
        <w:br/>
      </w:r>
      <w:r w:rsidRPr="00C149EB">
        <w:t>по последнему месту его службы в 10-дневный срок со дня заключения трудового договора или гражданско-правового договора.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43"/>
      <w:bookmarkEnd w:id="2"/>
      <w:r w:rsidRPr="00C149EB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число, месяц, год и место рождения гражданина;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</w:t>
      </w:r>
      <w:r w:rsidR="00C149EB">
        <w:br/>
      </w:r>
      <w:r w:rsidRPr="00C149EB">
        <w:t>(по сведениям, содержащимся в трудовой книжке);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наименование организации (полное, а также сокращенное (при наличии).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6. В случае если с гражданином заключен трудовой договор, наряду 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в) наименование должности, которую занимает гражданин по трудовому договору </w:t>
      </w:r>
      <w:r w:rsidR="00C149EB">
        <w:br/>
      </w:r>
      <w:r w:rsidRPr="00C149EB">
        <w:t>в соответствии со штатным расписанием, а также структурное подразделение организации (при наличии);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 xml:space="preserve">7. В случае если с гражданином заключен гражданско-правовой договор, наряду </w:t>
      </w:r>
      <w:r w:rsidR="00C149EB">
        <w:br/>
      </w:r>
      <w:r w:rsidRPr="00C149EB">
        <w:t xml:space="preserve">со сведениями, указанными в </w:t>
      </w:r>
      <w:hyperlink w:anchor="Par43" w:history="1">
        <w:r w:rsidRPr="00C149EB">
          <w:rPr>
            <w:color w:val="0000FF"/>
          </w:rPr>
          <w:t>пункте 5</w:t>
        </w:r>
      </w:hyperlink>
      <w:r w:rsidRPr="00C149EB">
        <w:t xml:space="preserve"> настоящих Правил, также указываются следующие данные: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а) дата и номер гражданско-правового договора;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б) срок гражданско-правового договора (сроки начала и окончания выполнения работ (оказания услуг);</w:t>
      </w:r>
    </w:p>
    <w:p w:rsidR="004C444E" w:rsidRPr="00C149EB" w:rsidRDefault="004C444E" w:rsidP="004C444E">
      <w:pPr>
        <w:widowControl w:val="0"/>
        <w:autoSpaceDE w:val="0"/>
        <w:autoSpaceDN w:val="0"/>
        <w:adjustRightInd w:val="0"/>
        <w:ind w:firstLine="540"/>
        <w:jc w:val="both"/>
      </w:pPr>
      <w:r w:rsidRPr="00C149EB">
        <w:t>в) предмет гражданско-правового договора (с кратким описанием работы (услуги) и ее результата);</w:t>
      </w:r>
    </w:p>
    <w:p w:rsidR="0099056A" w:rsidRPr="00C65016" w:rsidRDefault="004C444E" w:rsidP="00146F6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149EB">
        <w:t>г) стоимость работ (услуг) по гражданско-правовому договору.</w:t>
      </w:r>
    </w:p>
    <w:sectPr w:rsidR="0099056A" w:rsidRPr="00C65016" w:rsidSect="00470C7E">
      <w:headerReference w:type="even" r:id="rId27"/>
      <w:headerReference w:type="default" r:id="rId28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9F5" w:rsidRDefault="001D09F5">
      <w:r>
        <w:separator/>
      </w:r>
    </w:p>
  </w:endnote>
  <w:endnote w:type="continuationSeparator" w:id="1">
    <w:p w:rsidR="001D09F5" w:rsidRDefault="001D0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9F5" w:rsidRDefault="001D09F5">
      <w:r>
        <w:separator/>
      </w:r>
    </w:p>
  </w:footnote>
  <w:footnote w:type="continuationSeparator" w:id="1">
    <w:p w:rsidR="001D09F5" w:rsidRDefault="001D0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Default="00EC3453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Pr="00AD453F" w:rsidRDefault="00EC3453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6A5597">
      <w:rPr>
        <w:rStyle w:val="a5"/>
        <w:noProof/>
        <w:sz w:val="22"/>
      </w:rPr>
      <w:t>7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3A"/>
    <w:rsid w:val="00034BF8"/>
    <w:rsid w:val="00065A0F"/>
    <w:rsid w:val="00084694"/>
    <w:rsid w:val="000855DD"/>
    <w:rsid w:val="000C2191"/>
    <w:rsid w:val="000D0768"/>
    <w:rsid w:val="000D4A02"/>
    <w:rsid w:val="000F6B3A"/>
    <w:rsid w:val="00143945"/>
    <w:rsid w:val="00146F6A"/>
    <w:rsid w:val="00151A68"/>
    <w:rsid w:val="00164707"/>
    <w:rsid w:val="001855E0"/>
    <w:rsid w:val="0019255B"/>
    <w:rsid w:val="00194494"/>
    <w:rsid w:val="001A10A2"/>
    <w:rsid w:val="001A1EC6"/>
    <w:rsid w:val="001A7824"/>
    <w:rsid w:val="001C340F"/>
    <w:rsid w:val="001D09F5"/>
    <w:rsid w:val="001E4DC4"/>
    <w:rsid w:val="001E6A73"/>
    <w:rsid w:val="001F4E72"/>
    <w:rsid w:val="001F53B6"/>
    <w:rsid w:val="00204BF4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C444E"/>
    <w:rsid w:val="004C645B"/>
    <w:rsid w:val="004D1D64"/>
    <w:rsid w:val="004E2C22"/>
    <w:rsid w:val="00506644"/>
    <w:rsid w:val="00523BAE"/>
    <w:rsid w:val="00532399"/>
    <w:rsid w:val="005D184B"/>
    <w:rsid w:val="005D25C7"/>
    <w:rsid w:val="005D4618"/>
    <w:rsid w:val="005F0E59"/>
    <w:rsid w:val="00637947"/>
    <w:rsid w:val="00690574"/>
    <w:rsid w:val="00693216"/>
    <w:rsid w:val="006A5597"/>
    <w:rsid w:val="006F7418"/>
    <w:rsid w:val="00721545"/>
    <w:rsid w:val="0077283A"/>
    <w:rsid w:val="00791D4B"/>
    <w:rsid w:val="007E1658"/>
    <w:rsid w:val="00817048"/>
    <w:rsid w:val="00825010"/>
    <w:rsid w:val="00874B64"/>
    <w:rsid w:val="008836E9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C41C9"/>
    <w:rsid w:val="00BD5F86"/>
    <w:rsid w:val="00C036C6"/>
    <w:rsid w:val="00C05646"/>
    <w:rsid w:val="00C149EB"/>
    <w:rsid w:val="00C36216"/>
    <w:rsid w:val="00C51813"/>
    <w:rsid w:val="00C530B5"/>
    <w:rsid w:val="00C56712"/>
    <w:rsid w:val="00C65016"/>
    <w:rsid w:val="00C656BB"/>
    <w:rsid w:val="00C744AE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3453"/>
    <w:rsid w:val="00EC48CD"/>
    <w:rsid w:val="00ED7F1A"/>
    <w:rsid w:val="00F40DFD"/>
    <w:rsid w:val="00F97805"/>
    <w:rsid w:val="00FC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9AD6EC59B5695DB62828BFEACD885F863D81D0AB61879W7t9J" TargetMode="External"/><Relationship Id="rId13" Type="http://schemas.openxmlformats.org/officeDocument/2006/relationships/hyperlink" Target="consultantplus://offline/ref=0103C74AFB428A22C793A633D46C94F33714AE09DDEA86C845A46A74E09E5EE1934528FF7E90BDECD45CJ" TargetMode="External"/><Relationship Id="rId18" Type="http://schemas.openxmlformats.org/officeDocument/2006/relationships/hyperlink" Target="consultantplus://offline/ref=88EF6CD79D65F669EE72E56ABC35F573FCF9AD6EC59B5695DB62828BFEACD885F863D81D0AB61879W7t9J" TargetMode="External"/><Relationship Id="rId26" Type="http://schemas.openxmlformats.org/officeDocument/2006/relationships/hyperlink" Target="consultantplus://offline/ref=10A14FC1FF0E00BBE592718D553829591F1C59B34804B0C213FC3620C3x86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C31749A36EC2D745F9F4E25BE51CE98276017C97AC35930nDK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103C74AFB428A22C793A633D46C94F33714A106DFEF86C845A46A74E09E5EE1934528FFD75CJ" TargetMode="External"/><Relationship Id="rId17" Type="http://schemas.openxmlformats.org/officeDocument/2006/relationships/hyperlink" Target="consultantplus://offline/ref=88EF6CD79D65F669EE72E56ABC35F573FCFAA76FCE985695DB62828BFEACD885F863D81EW0t3J" TargetMode="External"/><Relationship Id="rId25" Type="http://schemas.openxmlformats.org/officeDocument/2006/relationships/hyperlink" Target="consultantplus://offline/ref=10A14FC1FF0E00BBE592718D553829591F1B5FB34407B0C213FC3620C383B0B6ABEA3320x96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F30709737EC2D745F9F4E25BE51CE98276017CE7B3Cn0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9F2AAD85592109914B3631C99E10201244646C7AF4861D123FA257529C011A0A0BD9E762EAE008lF1FJ" TargetMode="External"/><Relationship Id="rId24" Type="http://schemas.openxmlformats.org/officeDocument/2006/relationships/hyperlink" Target="consultantplus://offline/ref=88EF6CD79D65F669EE72E56ABC35F573FCFDAD6CCA915695DB62828BFEACD885F863D81D0AB21B7AW7tC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D0AB61979W7t8J" TargetMode="External"/><Relationship Id="rId23" Type="http://schemas.openxmlformats.org/officeDocument/2006/relationships/hyperlink" Target="consultantplus://offline/ref=88EF6CD79D65F669EE72E56ABC35F573FCFAA76FCE985695DB62828BFEACD885F863D81D0AB61979W7t6J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88EF6CD79D65F669EE72E56ABC35F573FCF9AD6EC59B5695DB62828BFEACD885F863D81D0AB61879W7t9J" TargetMode="External"/><Relationship Id="rId19" Type="http://schemas.openxmlformats.org/officeDocument/2006/relationships/hyperlink" Target="consultantplus://offline/ref=88EF6CD79D65F669EE72E56ABC35F573FCF9AB6CC5985695DB62828BFEWAt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AA76FCE985695DB62828BFEACD885F863D81EW0t3J" TargetMode="External"/><Relationship Id="rId14" Type="http://schemas.openxmlformats.org/officeDocument/2006/relationships/hyperlink" Target="consultantplus://offline/ref=0103C74AFB428A22C793A633D46C94F33713A800DCED86C845A46A74E09E5EE1934528FF7E90BDEED45EJ" TargetMode="External"/><Relationship Id="rId22" Type="http://schemas.openxmlformats.org/officeDocument/2006/relationships/hyperlink" Target="consultantplus://offline/ref=CDD62B79804EADAD70EBEC0F9E126BD52C4E327A9732EC2D745F9F4E25BE51CE982760143Cn1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19847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44</cp:lastModifiedBy>
  <cp:revision>8</cp:revision>
  <cp:lastPrinted>2013-10-21T11:08:00Z</cp:lastPrinted>
  <dcterms:created xsi:type="dcterms:W3CDTF">2015-03-17T05:56:00Z</dcterms:created>
  <dcterms:modified xsi:type="dcterms:W3CDTF">2016-06-21T06:44:00Z</dcterms:modified>
</cp:coreProperties>
</file>